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481C5" w14:textId="79C469F4" w:rsidR="00C75629" w:rsidRPr="00A22460" w:rsidRDefault="003F6767" w:rsidP="00AA5D66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229407566"/>
      <w:r w:rsidRPr="00A22460">
        <w:rPr>
          <w:rFonts w:ascii="Times New Roman" w:hAnsi="Times New Roman"/>
          <w:b/>
          <w:sz w:val="24"/>
          <w:szCs w:val="24"/>
        </w:rPr>
        <w:t>UTILIZAÇÃO DE BIOESTIMULANTES E MICRORGANISMOS NA MITIGAÇÃO DO DÉFICIT HÍDRICO EM CULTIVO DE FEIJÃO</w:t>
      </w:r>
    </w:p>
    <w:p w14:paraId="27D31B5D" w14:textId="77777777" w:rsidR="00684B45" w:rsidRPr="00A22460" w:rsidRDefault="00684B45" w:rsidP="00AA5D6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92EA18A" w14:textId="77777777" w:rsidR="00373556" w:rsidRPr="00A22460" w:rsidRDefault="00373556" w:rsidP="00AA5D6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5E2FF38" w14:textId="0EE8D9B4" w:rsidR="00157154" w:rsidRPr="00A22460" w:rsidRDefault="00157154" w:rsidP="00AA5D6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Hlk196468342"/>
      <w:r w:rsidRPr="00A22460">
        <w:rPr>
          <w:rFonts w:ascii="Times New Roman" w:hAnsi="Times New Roman"/>
          <w:b/>
          <w:bCs/>
          <w:sz w:val="24"/>
          <w:szCs w:val="24"/>
        </w:rPr>
        <w:t>JOSÉ GOMES MARTINS NETO</w:t>
      </w:r>
      <w:r w:rsidRPr="00A22460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A22460">
        <w:rPr>
          <w:rFonts w:ascii="Times New Roman" w:hAnsi="Times New Roman"/>
          <w:b/>
          <w:bCs/>
          <w:sz w:val="24"/>
          <w:szCs w:val="24"/>
        </w:rPr>
        <w:t>; NELMÍCIO FURTADO DA SILVA</w:t>
      </w:r>
      <w:r w:rsidRPr="00A22460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A22460">
        <w:rPr>
          <w:rFonts w:ascii="Times New Roman" w:hAnsi="Times New Roman"/>
          <w:b/>
          <w:bCs/>
          <w:sz w:val="24"/>
          <w:szCs w:val="24"/>
        </w:rPr>
        <w:t>; WENDSON SOARES DA SILVA CAVALCANTE</w:t>
      </w:r>
      <w:r w:rsidRPr="00A22460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A22460">
        <w:rPr>
          <w:rFonts w:ascii="Times New Roman" w:hAnsi="Times New Roman"/>
          <w:b/>
          <w:bCs/>
          <w:sz w:val="24"/>
          <w:szCs w:val="24"/>
        </w:rPr>
        <w:t>; PEDRO HENRYQUE FERNANDES CABRAL</w:t>
      </w:r>
      <w:r w:rsidRPr="00A22460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A22460">
        <w:rPr>
          <w:rFonts w:ascii="Times New Roman" w:hAnsi="Times New Roman"/>
          <w:b/>
          <w:bCs/>
          <w:sz w:val="24"/>
          <w:szCs w:val="24"/>
        </w:rPr>
        <w:t>; FERNANDO NOBRE CUNHA</w:t>
      </w:r>
      <w:r w:rsidRPr="00A22460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="000A312E">
        <w:rPr>
          <w:rFonts w:ascii="Times New Roman" w:hAnsi="Times New Roman"/>
          <w:b/>
          <w:bCs/>
          <w:sz w:val="24"/>
          <w:szCs w:val="24"/>
        </w:rPr>
        <w:t xml:space="preserve"> E</w:t>
      </w:r>
      <w:r w:rsidRPr="00A22460">
        <w:rPr>
          <w:rFonts w:ascii="Times New Roman" w:hAnsi="Times New Roman"/>
          <w:b/>
          <w:bCs/>
          <w:sz w:val="24"/>
          <w:szCs w:val="24"/>
        </w:rPr>
        <w:t xml:space="preserve"> MARCONI BATISTA TEIXEIRA</w:t>
      </w:r>
      <w:r w:rsidRPr="00A22460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bookmarkEnd w:id="1"/>
    </w:p>
    <w:p w14:paraId="3065DDBD" w14:textId="77777777" w:rsidR="00157154" w:rsidRPr="00A22460" w:rsidRDefault="00157154" w:rsidP="00AA5D6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EF85FB2" w14:textId="77777777" w:rsidR="00157154" w:rsidRPr="00A22460" w:rsidRDefault="00157154" w:rsidP="00AA5D66">
      <w:pPr>
        <w:spacing w:after="0"/>
        <w:jc w:val="both"/>
        <w:rPr>
          <w:rFonts w:ascii="Times New Roman" w:hAnsi="Times New Roman"/>
          <w:i/>
          <w:iCs/>
          <w:sz w:val="20"/>
          <w:szCs w:val="20"/>
        </w:rPr>
      </w:pPr>
      <w:r w:rsidRPr="00A22460">
        <w:rPr>
          <w:rFonts w:ascii="Times New Roman" w:hAnsi="Times New Roman"/>
          <w:i/>
          <w:iCs/>
          <w:sz w:val="20"/>
          <w:szCs w:val="20"/>
          <w:vertAlign w:val="superscript"/>
        </w:rPr>
        <w:t>1</w:t>
      </w:r>
      <w:r w:rsidRPr="00A22460">
        <w:rPr>
          <w:rFonts w:ascii="Times New Roman" w:hAnsi="Times New Roman"/>
          <w:i/>
          <w:iCs/>
          <w:sz w:val="20"/>
          <w:szCs w:val="20"/>
        </w:rPr>
        <w:t xml:space="preserve">Departamento de Agronomia, Universidade de Rio Verde – </w:t>
      </w:r>
      <w:proofErr w:type="spellStart"/>
      <w:r w:rsidRPr="00A22460">
        <w:rPr>
          <w:rFonts w:ascii="Times New Roman" w:hAnsi="Times New Roman"/>
          <w:i/>
          <w:iCs/>
          <w:sz w:val="20"/>
          <w:szCs w:val="20"/>
        </w:rPr>
        <w:t>UniRV</w:t>
      </w:r>
      <w:proofErr w:type="spellEnd"/>
      <w:r w:rsidRPr="00A22460">
        <w:rPr>
          <w:rFonts w:ascii="Times New Roman" w:hAnsi="Times New Roman"/>
          <w:i/>
          <w:iCs/>
          <w:sz w:val="20"/>
          <w:szCs w:val="20"/>
        </w:rPr>
        <w:t xml:space="preserve">, Campus Rio Verde – GO, Fazenda Fontes do Saber - Campus Universitário, CEP: 75.901-970, Rio Verde GO, Brasil, jose.g.m.neto@academico.unirv.edu.br, nelmicio@unirv.edu.br, wendsonbfsoarescvt@gmail.com, pedro.h.f.cabral@academico.unirv.edu.br; </w:t>
      </w:r>
      <w:proofErr w:type="gramStart"/>
      <w:r w:rsidRPr="00A22460">
        <w:rPr>
          <w:rFonts w:ascii="Times New Roman" w:hAnsi="Times New Roman"/>
          <w:i/>
          <w:iCs/>
          <w:sz w:val="20"/>
          <w:szCs w:val="20"/>
        </w:rPr>
        <w:t>ORCID  (</w:t>
      </w:r>
      <w:proofErr w:type="gramEnd"/>
      <w:r w:rsidRPr="00A22460">
        <w:rPr>
          <w:rFonts w:ascii="Times New Roman" w:hAnsi="Times New Roman"/>
          <w:i/>
          <w:iCs/>
          <w:sz w:val="20"/>
          <w:szCs w:val="20"/>
        </w:rPr>
        <w:t>https://orcid.org/0000-0003-1970-4959, https://orcid.org/0000-0001-7055-8075, https://orcid.org/0000-0002-5224-5486, https://orcid.org/0000-0002-6401-9929).</w:t>
      </w:r>
    </w:p>
    <w:p w14:paraId="612A727C" w14:textId="15F47BCD" w:rsidR="00B219BA" w:rsidRPr="00A22460" w:rsidRDefault="00157154" w:rsidP="00AA5D66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A22460">
        <w:rPr>
          <w:rFonts w:ascii="Times New Roman" w:hAnsi="Times New Roman"/>
          <w:i/>
          <w:iCs/>
          <w:sz w:val="20"/>
          <w:szCs w:val="20"/>
          <w:vertAlign w:val="superscript"/>
        </w:rPr>
        <w:t>2</w:t>
      </w:r>
      <w:r w:rsidRPr="00A22460">
        <w:rPr>
          <w:rFonts w:ascii="Times New Roman" w:hAnsi="Times New Roman"/>
          <w:i/>
          <w:iCs/>
          <w:sz w:val="20"/>
          <w:szCs w:val="20"/>
        </w:rPr>
        <w:t>Departamento de Hidráulica e Irrigação, Instituto Federal de Educação, Ciência e Tecnologia Goiano – Campus Rio Verde, Rodovia Sul Goiana, km 01, Zona Rural, CEP: 75.901-970, Rio Verde GO, Brasil, fernandonobrecunha@hotmail.com, marconibt@gmail.com; ORCID (https://orcid.org/0000-0001-8489-7625, https://orcid.org/0000-0002-0152-256X).</w:t>
      </w:r>
    </w:p>
    <w:p w14:paraId="29AFCD91" w14:textId="77777777" w:rsidR="00B219BA" w:rsidRPr="00A22460" w:rsidRDefault="00B219BA" w:rsidP="00AA5D6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2C4F5E2" w14:textId="77777777" w:rsidR="00B219BA" w:rsidRPr="00A22460" w:rsidRDefault="00B219BA" w:rsidP="00AA5D6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6E1126F" w14:textId="5F61F02A" w:rsidR="00024317" w:rsidRPr="00A22460" w:rsidRDefault="00024317" w:rsidP="00AA5D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2460">
        <w:rPr>
          <w:rFonts w:ascii="Times New Roman" w:hAnsi="Times New Roman"/>
          <w:b/>
          <w:sz w:val="24"/>
          <w:szCs w:val="24"/>
        </w:rPr>
        <w:t xml:space="preserve">1 </w:t>
      </w:r>
      <w:r w:rsidR="00D74FC0" w:rsidRPr="00A22460">
        <w:rPr>
          <w:rFonts w:ascii="Times New Roman" w:hAnsi="Times New Roman"/>
          <w:b/>
          <w:sz w:val="24"/>
          <w:szCs w:val="24"/>
        </w:rPr>
        <w:t>RESUMO</w:t>
      </w:r>
    </w:p>
    <w:p w14:paraId="03719BCC" w14:textId="77777777" w:rsidR="00584556" w:rsidRPr="00A22460" w:rsidRDefault="00584556" w:rsidP="00AA5D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F3EA989" w14:textId="45F6DAAA" w:rsidR="006937F5" w:rsidRPr="00A22460" w:rsidRDefault="006937F5" w:rsidP="00AA5D6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 xml:space="preserve">Os bioestimulantes são substâncias que conferem benefícios fisiológicos e morfológicos às plantas. Objetivou-se com este estudo avaliar a resposta da cultura do feijão à aplicação de bioestimulantes, onde receberam uma dose de uma formulação de bioestimulantes via tratamento de sementes à base de extrato de alga </w:t>
      </w:r>
      <w:r w:rsidRPr="00A22460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A22460">
        <w:rPr>
          <w:rFonts w:ascii="Times New Roman" w:hAnsi="Times New Roman"/>
          <w:i/>
          <w:iCs/>
          <w:sz w:val="24"/>
          <w:szCs w:val="24"/>
        </w:rPr>
        <w:t>Ascophyllum</w:t>
      </w:r>
      <w:proofErr w:type="spellEnd"/>
      <w:r w:rsidRPr="00A2246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22460">
        <w:rPr>
          <w:rFonts w:ascii="Times New Roman" w:hAnsi="Times New Roman"/>
          <w:i/>
          <w:iCs/>
          <w:sz w:val="24"/>
          <w:szCs w:val="24"/>
        </w:rPr>
        <w:t>nodusum</w:t>
      </w:r>
      <w:proofErr w:type="spellEnd"/>
      <w:r w:rsidRPr="00A22460">
        <w:rPr>
          <w:rFonts w:ascii="Times New Roman" w:hAnsi="Times New Roman"/>
          <w:i/>
          <w:iCs/>
          <w:sz w:val="24"/>
          <w:szCs w:val="24"/>
        </w:rPr>
        <w:t xml:space="preserve"> + </w:t>
      </w:r>
      <w:proofErr w:type="spellStart"/>
      <w:r w:rsidRPr="00A22460">
        <w:rPr>
          <w:rFonts w:ascii="Times New Roman" w:hAnsi="Times New Roman"/>
          <w:i/>
          <w:iCs/>
          <w:sz w:val="24"/>
          <w:szCs w:val="24"/>
        </w:rPr>
        <w:t>Kappaphycus</w:t>
      </w:r>
      <w:proofErr w:type="spellEnd"/>
      <w:r w:rsidRPr="00A2246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22460">
        <w:rPr>
          <w:rFonts w:ascii="Times New Roman" w:hAnsi="Times New Roman"/>
          <w:i/>
          <w:iCs/>
          <w:sz w:val="24"/>
          <w:szCs w:val="24"/>
        </w:rPr>
        <w:t>alvarezii</w:t>
      </w:r>
      <w:proofErr w:type="spellEnd"/>
      <w:r w:rsidRPr="00A22460">
        <w:rPr>
          <w:rFonts w:ascii="Times New Roman" w:hAnsi="Times New Roman"/>
          <w:i/>
          <w:sz w:val="24"/>
          <w:szCs w:val="24"/>
        </w:rPr>
        <w:t>)</w:t>
      </w:r>
      <w:r w:rsidRPr="00A22460">
        <w:rPr>
          <w:rFonts w:ascii="Times New Roman" w:hAnsi="Times New Roman"/>
          <w:sz w:val="24"/>
          <w:szCs w:val="24"/>
        </w:rPr>
        <w:t xml:space="preserve"> + complexo de aminoácidos contendo (Prolina + arginina) na dose de 2 </w:t>
      </w:r>
      <w:proofErr w:type="spellStart"/>
      <w:r w:rsidRPr="00A22460">
        <w:rPr>
          <w:rFonts w:ascii="Times New Roman" w:hAnsi="Times New Roman"/>
          <w:sz w:val="24"/>
          <w:szCs w:val="24"/>
        </w:rPr>
        <w:t>mL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 kg</w:t>
      </w:r>
      <w:r w:rsidRPr="00A22460">
        <w:rPr>
          <w:rFonts w:ascii="Times New Roman" w:hAnsi="Times New Roman"/>
          <w:sz w:val="24"/>
          <w:szCs w:val="24"/>
          <w:vertAlign w:val="superscript"/>
        </w:rPr>
        <w:t>-1</w:t>
      </w:r>
      <w:r w:rsidRPr="00A22460">
        <w:rPr>
          <w:rFonts w:ascii="Times New Roman" w:hAnsi="Times New Roman"/>
          <w:sz w:val="24"/>
          <w:szCs w:val="24"/>
        </w:rPr>
        <w:t xml:space="preserve"> de semente, e verificar seu efeito nas condições edafoclimáticas da região do Cerrado. O experimento foi conduzido com plantas de feijão em vasos, em casa de vegetação. Foi utilizado um delineamento inteiramente </w:t>
      </w:r>
      <w:proofErr w:type="spellStart"/>
      <w:r w:rsidRPr="00A22460">
        <w:rPr>
          <w:rFonts w:ascii="Times New Roman" w:hAnsi="Times New Roman"/>
          <w:sz w:val="24"/>
          <w:szCs w:val="24"/>
        </w:rPr>
        <w:t>casualizado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 (DIC), em esquema fatorial de 4 x 4, sendo 4 tratamentos de sementes (Microrganismos, bioestimulantes, microrganismos + bioestimulantes e testemunha) e 4 níveis de reposição hídrica (25%, 50%, 75% e 100% da </w:t>
      </w:r>
      <w:r w:rsidR="00D07476" w:rsidRPr="00A22460">
        <w:rPr>
          <w:rFonts w:ascii="Times New Roman" w:hAnsi="Times New Roman"/>
          <w:sz w:val="24"/>
          <w:szCs w:val="24"/>
        </w:rPr>
        <w:t>c</w:t>
      </w:r>
      <w:r w:rsidRPr="00A22460">
        <w:rPr>
          <w:rFonts w:ascii="Times New Roman" w:hAnsi="Times New Roman"/>
          <w:sz w:val="24"/>
          <w:szCs w:val="24"/>
        </w:rPr>
        <w:t>apacidade de campo – CC), com 5 repetições, totalizando 16 tratamentos e 80 unidades experimentais (Vasos). Foram determinadas as seguintes variáveis: altura de planta (AP), diâmetro de caule (DC), número de folhas (NF) e área foliar (AF). Os dados encontrados indicam que a aplicação via tratamento semente dos bioestimulantes + microrganismos podem efetivamente aumentar a capacidade de defesa das plantas de feijão contra os danos induzidos pelo déficit hídrico imposto.</w:t>
      </w:r>
    </w:p>
    <w:p w14:paraId="2708CBC3" w14:textId="77777777" w:rsidR="00D74FC0" w:rsidRPr="00A22460" w:rsidRDefault="00D74FC0" w:rsidP="00AA5D6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CDFF8C" w14:textId="6DC95D5B" w:rsidR="00106314" w:rsidRPr="00A22460" w:rsidRDefault="00BD1517" w:rsidP="00AA5D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22460">
        <w:rPr>
          <w:rFonts w:ascii="Times New Roman" w:hAnsi="Times New Roman"/>
          <w:b/>
          <w:sz w:val="24"/>
          <w:szCs w:val="24"/>
        </w:rPr>
        <w:t>Palavras-chave:</w:t>
      </w:r>
      <w:r w:rsidRPr="00A22460">
        <w:rPr>
          <w:rFonts w:ascii="Times New Roman" w:hAnsi="Times New Roman"/>
          <w:sz w:val="24"/>
          <w:szCs w:val="24"/>
        </w:rPr>
        <w:t xml:space="preserve"> </w:t>
      </w:r>
      <w:r w:rsidR="00EC2158" w:rsidRPr="00A22460">
        <w:rPr>
          <w:rFonts w:ascii="Times New Roman" w:hAnsi="Times New Roman"/>
          <w:i/>
          <w:sz w:val="24"/>
          <w:szCs w:val="24"/>
        </w:rPr>
        <w:t xml:space="preserve">Bacillus </w:t>
      </w:r>
      <w:proofErr w:type="spellStart"/>
      <w:r w:rsidR="00EC2158" w:rsidRPr="00A22460">
        <w:rPr>
          <w:rFonts w:ascii="Times New Roman" w:hAnsi="Times New Roman"/>
          <w:i/>
          <w:sz w:val="24"/>
          <w:szCs w:val="24"/>
        </w:rPr>
        <w:t>aryabhattai</w:t>
      </w:r>
      <w:proofErr w:type="spellEnd"/>
      <w:r w:rsidR="00EC2158" w:rsidRPr="00A22460">
        <w:rPr>
          <w:rFonts w:ascii="Times New Roman" w:hAnsi="Times New Roman"/>
          <w:i/>
          <w:sz w:val="24"/>
          <w:szCs w:val="24"/>
        </w:rPr>
        <w:t xml:space="preserve">; Bacillus </w:t>
      </w:r>
      <w:proofErr w:type="spellStart"/>
      <w:r w:rsidR="00EC2158" w:rsidRPr="00A22460">
        <w:rPr>
          <w:rFonts w:ascii="Times New Roman" w:hAnsi="Times New Roman"/>
          <w:i/>
          <w:sz w:val="24"/>
          <w:szCs w:val="24"/>
        </w:rPr>
        <w:t>subtilis</w:t>
      </w:r>
      <w:proofErr w:type="spellEnd"/>
      <w:r w:rsidR="00EC2158" w:rsidRPr="00A22460">
        <w:rPr>
          <w:rFonts w:ascii="Times New Roman" w:hAnsi="Times New Roman"/>
          <w:i/>
          <w:sz w:val="24"/>
          <w:szCs w:val="24"/>
        </w:rPr>
        <w:t xml:space="preserve">; </w:t>
      </w:r>
      <w:proofErr w:type="spellStart"/>
      <w:r w:rsidR="00EC2158" w:rsidRPr="00A22460">
        <w:rPr>
          <w:rFonts w:ascii="Times New Roman" w:hAnsi="Times New Roman"/>
          <w:i/>
          <w:sz w:val="24"/>
          <w:szCs w:val="24"/>
        </w:rPr>
        <w:t>Trichoderma</w:t>
      </w:r>
      <w:proofErr w:type="spellEnd"/>
      <w:r w:rsidR="00EC2158" w:rsidRPr="00A2246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C2158" w:rsidRPr="00A22460">
        <w:rPr>
          <w:rFonts w:ascii="Times New Roman" w:hAnsi="Times New Roman"/>
          <w:i/>
          <w:sz w:val="24"/>
          <w:szCs w:val="24"/>
        </w:rPr>
        <w:t>asperellum</w:t>
      </w:r>
      <w:proofErr w:type="spellEnd"/>
      <w:r w:rsidR="00EC2158" w:rsidRPr="00A22460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EC2158" w:rsidRPr="00A22460">
        <w:rPr>
          <w:rFonts w:ascii="Times New Roman" w:hAnsi="Times New Roman"/>
          <w:i/>
          <w:sz w:val="24"/>
          <w:szCs w:val="24"/>
        </w:rPr>
        <w:t>Ascophyllum</w:t>
      </w:r>
      <w:proofErr w:type="spellEnd"/>
      <w:r w:rsidR="00EC2158" w:rsidRPr="00A2246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C2158" w:rsidRPr="00A22460">
        <w:rPr>
          <w:rFonts w:ascii="Times New Roman" w:hAnsi="Times New Roman"/>
          <w:i/>
          <w:sz w:val="24"/>
          <w:szCs w:val="24"/>
        </w:rPr>
        <w:t>nodusum</w:t>
      </w:r>
      <w:proofErr w:type="spellEnd"/>
      <w:r w:rsidR="00EC2158" w:rsidRPr="00A22460">
        <w:rPr>
          <w:rFonts w:ascii="Times New Roman" w:hAnsi="Times New Roman"/>
          <w:i/>
          <w:sz w:val="24"/>
          <w:szCs w:val="24"/>
        </w:rPr>
        <w:t xml:space="preserve">; </w:t>
      </w:r>
      <w:proofErr w:type="spellStart"/>
      <w:r w:rsidR="00EC2158" w:rsidRPr="00A22460">
        <w:rPr>
          <w:rFonts w:ascii="Times New Roman" w:hAnsi="Times New Roman"/>
          <w:i/>
          <w:sz w:val="24"/>
          <w:szCs w:val="24"/>
        </w:rPr>
        <w:t>Kappaphycus</w:t>
      </w:r>
      <w:proofErr w:type="spellEnd"/>
      <w:r w:rsidR="00EC2158" w:rsidRPr="00A2246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C2158" w:rsidRPr="00A22460">
        <w:rPr>
          <w:rFonts w:ascii="Times New Roman" w:hAnsi="Times New Roman"/>
          <w:i/>
          <w:sz w:val="24"/>
          <w:szCs w:val="24"/>
        </w:rPr>
        <w:t>alvarezii</w:t>
      </w:r>
      <w:proofErr w:type="spellEnd"/>
      <w:r w:rsidR="00ED2388" w:rsidRPr="00A22460">
        <w:rPr>
          <w:rFonts w:ascii="Times New Roman" w:hAnsi="Times New Roman"/>
          <w:sz w:val="24"/>
          <w:szCs w:val="24"/>
        </w:rPr>
        <w:t>.</w:t>
      </w:r>
    </w:p>
    <w:p w14:paraId="1B9882FB" w14:textId="77777777" w:rsidR="00584556" w:rsidRPr="00A22460" w:rsidRDefault="00584556" w:rsidP="00AA5D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B4B848C" w14:textId="77777777" w:rsidR="008502BE" w:rsidRPr="00A22460" w:rsidRDefault="008502BE" w:rsidP="00AA5D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78E2173" w14:textId="3EFEEC83" w:rsidR="00170D65" w:rsidRPr="00A22460" w:rsidRDefault="008C0738" w:rsidP="00AA5D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2460">
        <w:rPr>
          <w:rFonts w:ascii="Times New Roman" w:hAnsi="Times New Roman"/>
          <w:b/>
          <w:sz w:val="24"/>
          <w:szCs w:val="24"/>
        </w:rPr>
        <w:t>MARTINS NETO, J. G.; SILVA, N. F.; CAVALCANTE, W. S. S.; CABRAL, P. H. F.; CUNHA, F. N.; TEIXEIRA, M. B.</w:t>
      </w:r>
    </w:p>
    <w:p w14:paraId="44E58C9C" w14:textId="186A5F5A" w:rsidR="00584556" w:rsidRPr="00A22460" w:rsidRDefault="00665C76" w:rsidP="00AA5D66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22460">
        <w:rPr>
          <w:rFonts w:ascii="Times New Roman" w:hAnsi="Times New Roman"/>
          <w:b/>
          <w:sz w:val="24"/>
          <w:szCs w:val="24"/>
          <w:lang w:val="en-US"/>
        </w:rPr>
        <w:t>USE OF BIOSTIMULANTS AND MICROORGANISMS IN MITIGATION OF WATER DEFICIT IN BEAN CULTIVATION</w:t>
      </w:r>
    </w:p>
    <w:p w14:paraId="6B5ECFE4" w14:textId="77777777" w:rsidR="00584556" w:rsidRPr="00A22460" w:rsidRDefault="00584556" w:rsidP="00AA5D66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1F6D281E" w14:textId="5F3E1DCB" w:rsidR="008502BE" w:rsidRDefault="008502BE" w:rsidP="00AA5D66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6D09E908" w14:textId="303DD483" w:rsidR="000A312E" w:rsidRDefault="000A312E" w:rsidP="00AA5D66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4F0E8220" w14:textId="77777777" w:rsidR="000A312E" w:rsidRPr="00A22460" w:rsidRDefault="000A312E" w:rsidP="00AA5D66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5B4E5080" w14:textId="6242A476" w:rsidR="00024317" w:rsidRPr="00A22460" w:rsidRDefault="00024317" w:rsidP="00AA5D66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22460"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2 </w:t>
      </w:r>
      <w:proofErr w:type="gramStart"/>
      <w:r w:rsidR="00D74FC0" w:rsidRPr="00A22460">
        <w:rPr>
          <w:rFonts w:ascii="Times New Roman" w:hAnsi="Times New Roman"/>
          <w:b/>
          <w:sz w:val="24"/>
          <w:szCs w:val="24"/>
          <w:lang w:val="en-US"/>
        </w:rPr>
        <w:t>ABSTRACT</w:t>
      </w:r>
      <w:proofErr w:type="gramEnd"/>
    </w:p>
    <w:p w14:paraId="2F5A581D" w14:textId="77777777" w:rsidR="00584556" w:rsidRPr="00A22460" w:rsidRDefault="00584556" w:rsidP="00AA5D66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61B59122" w14:textId="77777777" w:rsidR="00382C03" w:rsidRPr="00A22460" w:rsidRDefault="00382C03" w:rsidP="00382C03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22460">
        <w:rPr>
          <w:rFonts w:ascii="Times New Roman" w:hAnsi="Times New Roman"/>
          <w:sz w:val="24"/>
          <w:szCs w:val="24"/>
          <w:lang w:val="en-US"/>
        </w:rPr>
        <w:t>Biostimulants</w:t>
      </w:r>
      <w:proofErr w:type="spellEnd"/>
      <w:r w:rsidRPr="00A22460">
        <w:rPr>
          <w:rFonts w:ascii="Times New Roman" w:hAnsi="Times New Roman"/>
          <w:sz w:val="24"/>
          <w:szCs w:val="24"/>
          <w:lang w:val="en-US"/>
        </w:rPr>
        <w:t xml:space="preserve"> are substances that provide physiological and morphological benefits to plants. The aim of this study was to evaluate the response of bean crops to the application of </w:t>
      </w:r>
      <w:proofErr w:type="spellStart"/>
      <w:r w:rsidRPr="00A22460">
        <w:rPr>
          <w:rFonts w:ascii="Times New Roman" w:hAnsi="Times New Roman"/>
          <w:sz w:val="24"/>
          <w:szCs w:val="24"/>
          <w:lang w:val="en-US"/>
        </w:rPr>
        <w:t>biostimulants</w:t>
      </w:r>
      <w:proofErr w:type="spellEnd"/>
      <w:r w:rsidRPr="00A22460">
        <w:rPr>
          <w:rFonts w:ascii="Times New Roman" w:hAnsi="Times New Roman"/>
          <w:sz w:val="24"/>
          <w:szCs w:val="24"/>
          <w:lang w:val="en-US"/>
        </w:rPr>
        <w:t xml:space="preserve">, where they received a dose of a </w:t>
      </w:r>
      <w:proofErr w:type="spellStart"/>
      <w:r w:rsidRPr="00A22460">
        <w:rPr>
          <w:rFonts w:ascii="Times New Roman" w:hAnsi="Times New Roman"/>
          <w:sz w:val="24"/>
          <w:szCs w:val="24"/>
          <w:lang w:val="en-US"/>
        </w:rPr>
        <w:t>biostimulant</w:t>
      </w:r>
      <w:proofErr w:type="spellEnd"/>
      <w:r w:rsidRPr="00A22460">
        <w:rPr>
          <w:rFonts w:ascii="Times New Roman" w:hAnsi="Times New Roman"/>
          <w:sz w:val="24"/>
          <w:szCs w:val="24"/>
          <w:lang w:val="en-US"/>
        </w:rPr>
        <w:t xml:space="preserve"> formulation via seed treatment based on seaweed extract (</w:t>
      </w:r>
      <w:r w:rsidRPr="00A22460">
        <w:rPr>
          <w:rFonts w:ascii="Times New Roman" w:hAnsi="Times New Roman"/>
          <w:i/>
          <w:iCs/>
          <w:sz w:val="24"/>
          <w:szCs w:val="24"/>
          <w:lang w:val="en-US"/>
        </w:rPr>
        <w:t xml:space="preserve">Ascophyllum </w:t>
      </w:r>
      <w:proofErr w:type="spellStart"/>
      <w:r w:rsidRPr="00A22460">
        <w:rPr>
          <w:rFonts w:ascii="Times New Roman" w:hAnsi="Times New Roman"/>
          <w:i/>
          <w:iCs/>
          <w:sz w:val="24"/>
          <w:szCs w:val="24"/>
          <w:lang w:val="en-US"/>
        </w:rPr>
        <w:t>nodusum</w:t>
      </w:r>
      <w:proofErr w:type="spellEnd"/>
      <w:r w:rsidRPr="00A22460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Pr="00A22460">
        <w:rPr>
          <w:rFonts w:ascii="Times New Roman" w:hAnsi="Times New Roman"/>
          <w:sz w:val="24"/>
          <w:szCs w:val="24"/>
          <w:lang w:val="en-US"/>
        </w:rPr>
        <w:t xml:space="preserve">+ </w:t>
      </w:r>
      <w:proofErr w:type="spellStart"/>
      <w:r w:rsidRPr="00A22460">
        <w:rPr>
          <w:rFonts w:ascii="Times New Roman" w:hAnsi="Times New Roman"/>
          <w:i/>
          <w:iCs/>
          <w:sz w:val="24"/>
          <w:szCs w:val="24"/>
          <w:lang w:val="en-US"/>
        </w:rPr>
        <w:t>Kappaphycus</w:t>
      </w:r>
      <w:proofErr w:type="spellEnd"/>
      <w:r w:rsidRPr="00A22460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22460">
        <w:rPr>
          <w:rFonts w:ascii="Times New Roman" w:hAnsi="Times New Roman"/>
          <w:i/>
          <w:iCs/>
          <w:sz w:val="24"/>
          <w:szCs w:val="24"/>
          <w:lang w:val="en-US"/>
        </w:rPr>
        <w:t>alvarezii</w:t>
      </w:r>
      <w:proofErr w:type="spellEnd"/>
      <w:r w:rsidRPr="00A22460">
        <w:rPr>
          <w:rFonts w:ascii="Times New Roman" w:hAnsi="Times New Roman"/>
          <w:sz w:val="24"/>
          <w:szCs w:val="24"/>
          <w:lang w:val="en-US"/>
        </w:rPr>
        <w:t xml:space="preserve">) + </w:t>
      </w:r>
      <w:r>
        <w:rPr>
          <w:rFonts w:ascii="Times New Roman" w:hAnsi="Times New Roman"/>
          <w:sz w:val="24"/>
          <w:szCs w:val="24"/>
          <w:lang w:val="en-US"/>
        </w:rPr>
        <w:t xml:space="preserve">an </w:t>
      </w:r>
      <w:r w:rsidRPr="00A22460">
        <w:rPr>
          <w:rFonts w:ascii="Times New Roman" w:hAnsi="Times New Roman"/>
          <w:sz w:val="24"/>
          <w:szCs w:val="24"/>
          <w:lang w:val="en-US"/>
        </w:rPr>
        <w:t xml:space="preserve">amino acid complex containing </w:t>
      </w:r>
      <w:r>
        <w:rPr>
          <w:rFonts w:ascii="Times New Roman" w:hAnsi="Times New Roman"/>
          <w:sz w:val="24"/>
          <w:szCs w:val="24"/>
          <w:lang w:val="en-US"/>
        </w:rPr>
        <w:t>proline</w:t>
      </w:r>
      <w:r w:rsidRPr="00A22460">
        <w:rPr>
          <w:rFonts w:ascii="Times New Roman" w:hAnsi="Times New Roman"/>
          <w:sz w:val="24"/>
          <w:szCs w:val="24"/>
          <w:lang w:val="en-US"/>
        </w:rPr>
        <w:t xml:space="preserve"> + arginine at a dose of 2 mL kg </w:t>
      </w:r>
      <w:r w:rsidRPr="00A22460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-1 </w:t>
      </w:r>
      <w:r w:rsidRPr="00A22460">
        <w:rPr>
          <w:rFonts w:ascii="Times New Roman" w:hAnsi="Times New Roman"/>
          <w:sz w:val="24"/>
          <w:szCs w:val="24"/>
          <w:lang w:val="en-US"/>
        </w:rPr>
        <w:t xml:space="preserve">of seed, and to verify its effect on the edaphoclimatic conditions of the </w:t>
      </w:r>
      <w:proofErr w:type="spellStart"/>
      <w:r w:rsidRPr="00A22460">
        <w:rPr>
          <w:rFonts w:ascii="Times New Roman" w:hAnsi="Times New Roman"/>
          <w:sz w:val="24"/>
          <w:szCs w:val="24"/>
          <w:lang w:val="en-US"/>
        </w:rPr>
        <w:t>Cerrado</w:t>
      </w:r>
      <w:proofErr w:type="spellEnd"/>
      <w:r w:rsidRPr="00A22460">
        <w:rPr>
          <w:rFonts w:ascii="Times New Roman" w:hAnsi="Times New Roman"/>
          <w:sz w:val="24"/>
          <w:szCs w:val="24"/>
          <w:lang w:val="en-US"/>
        </w:rPr>
        <w:t xml:space="preserve"> region. The experiment was conducted with bean plants in pots in a greenhouse. A completely randomized design (CRD) was used in a 4 x 4 factorial scheme, with 4 seed treatments (</w:t>
      </w:r>
      <w:r>
        <w:rPr>
          <w:rFonts w:ascii="Times New Roman" w:hAnsi="Times New Roman"/>
          <w:sz w:val="24"/>
          <w:szCs w:val="24"/>
          <w:lang w:val="en-US"/>
        </w:rPr>
        <w:t>microorganisms</w:t>
      </w:r>
      <w:r w:rsidRPr="00A2246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A22460">
        <w:rPr>
          <w:rFonts w:ascii="Times New Roman" w:hAnsi="Times New Roman"/>
          <w:sz w:val="24"/>
          <w:szCs w:val="24"/>
          <w:lang w:val="en-US"/>
        </w:rPr>
        <w:t>biostimulants</w:t>
      </w:r>
      <w:proofErr w:type="spellEnd"/>
      <w:r w:rsidRPr="00A22460">
        <w:rPr>
          <w:rFonts w:ascii="Times New Roman" w:hAnsi="Times New Roman"/>
          <w:sz w:val="24"/>
          <w:szCs w:val="24"/>
          <w:lang w:val="en-US"/>
        </w:rPr>
        <w:t xml:space="preserve">, microorganisms + </w:t>
      </w:r>
      <w:proofErr w:type="spellStart"/>
      <w:r w:rsidRPr="00A22460">
        <w:rPr>
          <w:rFonts w:ascii="Times New Roman" w:hAnsi="Times New Roman"/>
          <w:sz w:val="24"/>
          <w:szCs w:val="24"/>
          <w:lang w:val="en-US"/>
        </w:rPr>
        <w:t>biostimulants</w:t>
      </w:r>
      <w:proofErr w:type="spellEnd"/>
      <w:r w:rsidRPr="00A22460">
        <w:rPr>
          <w:rFonts w:ascii="Times New Roman" w:hAnsi="Times New Roman"/>
          <w:sz w:val="24"/>
          <w:szCs w:val="24"/>
          <w:lang w:val="en-US"/>
        </w:rPr>
        <w:t xml:space="preserve"> and control) and 4 levels of water replacement (25%, 50%, 75% and 100% of </w:t>
      </w:r>
      <w:r>
        <w:rPr>
          <w:rFonts w:ascii="Times New Roman" w:hAnsi="Times New Roman"/>
          <w:sz w:val="24"/>
          <w:szCs w:val="24"/>
          <w:lang w:val="en-US"/>
        </w:rPr>
        <w:t>field capacity</w:t>
      </w:r>
      <w:r w:rsidRPr="00A22460">
        <w:rPr>
          <w:rFonts w:ascii="Times New Roman" w:hAnsi="Times New Roman"/>
          <w:sz w:val="24"/>
          <w:szCs w:val="24"/>
          <w:lang w:val="en-US"/>
        </w:rPr>
        <w:t xml:space="preserve"> - CC), with 5 replicates, totaling 16 treatments and 80 experimental units (Pots). The following variables were determined: plant height (AP), stem diameter (DC), number of leaves (NF) and leaf area (AF). </w:t>
      </w:r>
      <w:r>
        <w:rPr>
          <w:rFonts w:ascii="Times New Roman" w:hAnsi="Times New Roman"/>
          <w:sz w:val="24"/>
          <w:szCs w:val="24"/>
          <w:lang w:val="en-US"/>
        </w:rPr>
        <w:t>These findings indicate</w:t>
      </w:r>
      <w:r w:rsidRPr="00A22460">
        <w:rPr>
          <w:rFonts w:ascii="Times New Roman" w:hAnsi="Times New Roman"/>
          <w:sz w:val="24"/>
          <w:szCs w:val="24"/>
          <w:lang w:val="en-US"/>
        </w:rPr>
        <w:t xml:space="preserve"> that the application of </w:t>
      </w:r>
      <w:proofErr w:type="spellStart"/>
      <w:r w:rsidRPr="00A22460">
        <w:rPr>
          <w:rFonts w:ascii="Times New Roman" w:hAnsi="Times New Roman"/>
          <w:sz w:val="24"/>
          <w:szCs w:val="24"/>
          <w:lang w:val="en-US"/>
        </w:rPr>
        <w:t>biostimulants</w:t>
      </w:r>
      <w:proofErr w:type="spellEnd"/>
      <w:r w:rsidRPr="00A22460">
        <w:rPr>
          <w:rFonts w:ascii="Times New Roman" w:hAnsi="Times New Roman"/>
          <w:sz w:val="24"/>
          <w:szCs w:val="24"/>
          <w:lang w:val="en-US"/>
        </w:rPr>
        <w:t xml:space="preserve"> + microorganisms via seed treatment can effectively increase the defense capacity of bean plants against damage induced by imposed water deficit.</w:t>
      </w:r>
    </w:p>
    <w:p w14:paraId="0AB66C7F" w14:textId="77777777" w:rsidR="00584556" w:rsidRPr="00A22460" w:rsidRDefault="00584556" w:rsidP="00AA5D6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BE756D9" w14:textId="77512F32" w:rsidR="00106314" w:rsidRPr="00A22460" w:rsidRDefault="00D74FC0" w:rsidP="00AA5D66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A22460">
        <w:rPr>
          <w:rFonts w:ascii="Times New Roman" w:hAnsi="Times New Roman"/>
          <w:b/>
          <w:sz w:val="24"/>
          <w:szCs w:val="24"/>
          <w:lang w:val="en-US"/>
        </w:rPr>
        <w:t>Keywords</w:t>
      </w:r>
      <w:r w:rsidR="00106314" w:rsidRPr="00A22460">
        <w:rPr>
          <w:rFonts w:ascii="Times New Roman" w:hAnsi="Times New Roman"/>
          <w:b/>
          <w:sz w:val="24"/>
          <w:szCs w:val="24"/>
          <w:lang w:val="en-US"/>
        </w:rPr>
        <w:t>:</w:t>
      </w:r>
      <w:r w:rsidR="00106314" w:rsidRPr="00A2246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45CA8" w:rsidRPr="00A22460">
        <w:rPr>
          <w:rFonts w:ascii="Times New Roman" w:hAnsi="Times New Roman"/>
          <w:i/>
          <w:sz w:val="24"/>
          <w:szCs w:val="24"/>
          <w:lang w:val="en-US"/>
        </w:rPr>
        <w:t xml:space="preserve">Bacillus </w:t>
      </w:r>
      <w:proofErr w:type="spellStart"/>
      <w:r w:rsidR="00045CA8" w:rsidRPr="00A22460">
        <w:rPr>
          <w:rFonts w:ascii="Times New Roman" w:hAnsi="Times New Roman"/>
          <w:i/>
          <w:sz w:val="24"/>
          <w:szCs w:val="24"/>
          <w:lang w:val="en-US"/>
        </w:rPr>
        <w:t>aryabhattai</w:t>
      </w:r>
      <w:proofErr w:type="spellEnd"/>
      <w:r w:rsidR="00045CA8" w:rsidRPr="00A22460">
        <w:rPr>
          <w:rFonts w:ascii="Times New Roman" w:hAnsi="Times New Roman"/>
          <w:i/>
          <w:sz w:val="24"/>
          <w:szCs w:val="24"/>
          <w:lang w:val="en-US"/>
        </w:rPr>
        <w:t xml:space="preserve">; Bacillus subtilis; Trichoderma </w:t>
      </w:r>
      <w:proofErr w:type="spellStart"/>
      <w:r w:rsidR="00045CA8" w:rsidRPr="00A22460">
        <w:rPr>
          <w:rFonts w:ascii="Times New Roman" w:hAnsi="Times New Roman"/>
          <w:i/>
          <w:sz w:val="24"/>
          <w:szCs w:val="24"/>
          <w:lang w:val="en-US"/>
        </w:rPr>
        <w:t>asperellum</w:t>
      </w:r>
      <w:proofErr w:type="spellEnd"/>
      <w:r w:rsidR="00045CA8" w:rsidRPr="00A22460">
        <w:rPr>
          <w:rFonts w:ascii="Times New Roman" w:hAnsi="Times New Roman"/>
          <w:i/>
          <w:sz w:val="24"/>
          <w:szCs w:val="24"/>
          <w:lang w:val="en-US"/>
        </w:rPr>
        <w:t xml:space="preserve">, Ascophyllum </w:t>
      </w:r>
      <w:proofErr w:type="spellStart"/>
      <w:r w:rsidR="00045CA8" w:rsidRPr="00A22460">
        <w:rPr>
          <w:rFonts w:ascii="Times New Roman" w:hAnsi="Times New Roman"/>
          <w:i/>
          <w:sz w:val="24"/>
          <w:szCs w:val="24"/>
          <w:lang w:val="en-US"/>
        </w:rPr>
        <w:t>nodusum</w:t>
      </w:r>
      <w:proofErr w:type="spellEnd"/>
      <w:r w:rsidR="00045CA8" w:rsidRPr="00A22460">
        <w:rPr>
          <w:rFonts w:ascii="Times New Roman" w:hAnsi="Times New Roman"/>
          <w:i/>
          <w:sz w:val="24"/>
          <w:szCs w:val="24"/>
          <w:lang w:val="en-US"/>
        </w:rPr>
        <w:t xml:space="preserve">; </w:t>
      </w:r>
      <w:proofErr w:type="spellStart"/>
      <w:r w:rsidR="00045CA8" w:rsidRPr="00A22460">
        <w:rPr>
          <w:rFonts w:ascii="Times New Roman" w:hAnsi="Times New Roman"/>
          <w:i/>
          <w:sz w:val="24"/>
          <w:szCs w:val="24"/>
          <w:lang w:val="en-US"/>
        </w:rPr>
        <w:t>Kappaphycus</w:t>
      </w:r>
      <w:proofErr w:type="spellEnd"/>
      <w:r w:rsidR="00045CA8" w:rsidRPr="00A22460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045CA8" w:rsidRPr="00A22460">
        <w:rPr>
          <w:rFonts w:ascii="Times New Roman" w:hAnsi="Times New Roman"/>
          <w:i/>
          <w:sz w:val="24"/>
          <w:szCs w:val="24"/>
          <w:lang w:val="en-US"/>
        </w:rPr>
        <w:t>alvarezii</w:t>
      </w:r>
      <w:proofErr w:type="spellEnd"/>
      <w:r w:rsidR="00045CA8" w:rsidRPr="00A22460">
        <w:rPr>
          <w:rFonts w:ascii="Times New Roman" w:hAnsi="Times New Roman"/>
          <w:sz w:val="24"/>
          <w:szCs w:val="24"/>
          <w:lang w:val="en-US"/>
        </w:rPr>
        <w:t>.</w:t>
      </w:r>
    </w:p>
    <w:bookmarkEnd w:id="0"/>
    <w:p w14:paraId="6FCAD3FB" w14:textId="77777777" w:rsidR="00943BC7" w:rsidRPr="00A22460" w:rsidRDefault="00943BC7" w:rsidP="00AA5D66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29549617" w14:textId="77777777" w:rsidR="00C25E75" w:rsidRPr="00A22460" w:rsidRDefault="00C25E75" w:rsidP="00AA5D66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15FCF266" w14:textId="77777777" w:rsidR="000A312E" w:rsidRDefault="000A312E" w:rsidP="00AA5D66">
      <w:pPr>
        <w:spacing w:after="0"/>
        <w:jc w:val="center"/>
        <w:rPr>
          <w:rFonts w:ascii="Times New Roman" w:hAnsi="Times New Roman"/>
          <w:b/>
          <w:sz w:val="24"/>
          <w:szCs w:val="24"/>
        </w:rPr>
        <w:sectPr w:rsidR="000A312E" w:rsidSect="0066572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134" w:bottom="1701" w:left="1701" w:header="709" w:footer="709" w:gutter="0"/>
          <w:pgNumType w:start="368"/>
          <w:cols w:space="720"/>
          <w:titlePg/>
          <w:docGrid w:linePitch="360"/>
        </w:sectPr>
      </w:pPr>
    </w:p>
    <w:p w14:paraId="54F835AC" w14:textId="710633C5" w:rsidR="00C75629" w:rsidRPr="00A22460" w:rsidRDefault="00024317" w:rsidP="00AA5D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2460">
        <w:rPr>
          <w:rFonts w:ascii="Times New Roman" w:hAnsi="Times New Roman"/>
          <w:b/>
          <w:sz w:val="24"/>
          <w:szCs w:val="24"/>
        </w:rPr>
        <w:t xml:space="preserve">3 </w:t>
      </w:r>
      <w:r w:rsidR="00D07EE5" w:rsidRPr="00A22460">
        <w:rPr>
          <w:rFonts w:ascii="Times New Roman" w:hAnsi="Times New Roman"/>
          <w:b/>
          <w:sz w:val="24"/>
          <w:szCs w:val="24"/>
        </w:rPr>
        <w:t>INTRODU</w:t>
      </w:r>
      <w:r w:rsidR="00D74FC0" w:rsidRPr="00A22460">
        <w:rPr>
          <w:rFonts w:ascii="Times New Roman" w:hAnsi="Times New Roman"/>
          <w:b/>
          <w:sz w:val="24"/>
          <w:szCs w:val="24"/>
        </w:rPr>
        <w:t>ÇÃO</w:t>
      </w:r>
    </w:p>
    <w:p w14:paraId="5AE591E5" w14:textId="77777777" w:rsidR="00057C96" w:rsidRPr="00A22460" w:rsidRDefault="00057C96" w:rsidP="00AA5D66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0AF59F06" w14:textId="70AD3D49" w:rsidR="003221D5" w:rsidRPr="00A22460" w:rsidRDefault="003221D5" w:rsidP="00AA5D6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2460">
        <w:rPr>
          <w:rFonts w:ascii="Times New Roman" w:hAnsi="Times New Roman"/>
          <w:bCs/>
          <w:sz w:val="24"/>
          <w:szCs w:val="24"/>
        </w:rPr>
        <w:t>O feijão comum (</w:t>
      </w:r>
      <w:proofErr w:type="spellStart"/>
      <w:r w:rsidRPr="00A22460">
        <w:rPr>
          <w:rFonts w:ascii="Times New Roman" w:hAnsi="Times New Roman"/>
          <w:bCs/>
          <w:i/>
          <w:iCs/>
          <w:sz w:val="24"/>
          <w:szCs w:val="24"/>
        </w:rPr>
        <w:t>Phaseolus</w:t>
      </w:r>
      <w:proofErr w:type="spellEnd"/>
      <w:r w:rsidRPr="00A2246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A22460">
        <w:rPr>
          <w:rFonts w:ascii="Times New Roman" w:hAnsi="Times New Roman"/>
          <w:bCs/>
          <w:i/>
          <w:iCs/>
          <w:sz w:val="24"/>
          <w:szCs w:val="24"/>
        </w:rPr>
        <w:t>vulgaris</w:t>
      </w:r>
      <w:proofErr w:type="spellEnd"/>
      <w:r w:rsidRPr="00A22460">
        <w:rPr>
          <w:rFonts w:ascii="Times New Roman" w:hAnsi="Times New Roman"/>
          <w:bCs/>
          <w:sz w:val="24"/>
          <w:szCs w:val="24"/>
        </w:rPr>
        <w:t xml:space="preserve"> L.) pertence à família das Fabaceae que abrange as leguminosas e encontra-se entre os alimentos mais antigos da humanidade, sendo uma das primeiras espécies domesticadas pelo homem (Carvalho </w:t>
      </w:r>
      <w:r w:rsidRPr="00A22460">
        <w:rPr>
          <w:rFonts w:ascii="Times New Roman" w:hAnsi="Times New Roman"/>
          <w:bCs/>
          <w:i/>
          <w:iCs/>
          <w:sz w:val="24"/>
          <w:szCs w:val="24"/>
        </w:rPr>
        <w:t>et al.</w:t>
      </w:r>
      <w:r w:rsidRPr="00A22460">
        <w:rPr>
          <w:rFonts w:ascii="Times New Roman" w:hAnsi="Times New Roman"/>
          <w:bCs/>
          <w:sz w:val="24"/>
          <w:szCs w:val="24"/>
        </w:rPr>
        <w:t>, 2013; Pinto, 2016). No Brasil é considerado uma excelente fonte de proteína vegetal (16 a 36%), carboidratos (66 a 77%), ferro (2%), lipídios (0,66 a 1,43%) e outros minerais, como cálcio, magnésio e zinco (</w:t>
      </w:r>
      <w:proofErr w:type="spellStart"/>
      <w:r w:rsidRPr="00A22460">
        <w:rPr>
          <w:rFonts w:ascii="Times New Roman" w:hAnsi="Times New Roman"/>
          <w:bCs/>
          <w:sz w:val="24"/>
          <w:szCs w:val="24"/>
        </w:rPr>
        <w:t>Buratto</w:t>
      </w:r>
      <w:proofErr w:type="spellEnd"/>
      <w:r w:rsidRPr="00A22460">
        <w:rPr>
          <w:rFonts w:ascii="Times New Roman" w:hAnsi="Times New Roman"/>
          <w:bCs/>
          <w:sz w:val="24"/>
          <w:szCs w:val="24"/>
        </w:rPr>
        <w:t xml:space="preserve">, 2012; Carvalho </w:t>
      </w:r>
      <w:r w:rsidRPr="00A22460">
        <w:rPr>
          <w:rFonts w:ascii="Times New Roman" w:hAnsi="Times New Roman"/>
          <w:bCs/>
          <w:i/>
          <w:iCs/>
          <w:sz w:val="24"/>
          <w:szCs w:val="24"/>
        </w:rPr>
        <w:t>et al.</w:t>
      </w:r>
      <w:r w:rsidRPr="00A22460">
        <w:rPr>
          <w:rFonts w:ascii="Times New Roman" w:hAnsi="Times New Roman"/>
          <w:bCs/>
          <w:sz w:val="24"/>
          <w:szCs w:val="24"/>
        </w:rPr>
        <w:t>, 2013). No ano safra 2023/24, a área de cultivo destinada a cultura foi 2.856,6 mil hectares (considerando o feijão-comuns cores, o feijão-comum preto e o feijão-caupi) com uma produção de 3.259 mil toneladas, sendo 7,3% superior ao volume colhido na safra 2022/23 (</w:t>
      </w:r>
      <w:r w:rsidR="006A0099" w:rsidRPr="00A22460">
        <w:rPr>
          <w:rFonts w:ascii="Times New Roman" w:hAnsi="Times New Roman"/>
          <w:bCs/>
          <w:sz w:val="24"/>
          <w:szCs w:val="24"/>
        </w:rPr>
        <w:t>Feijão</w:t>
      </w:r>
      <w:r w:rsidRPr="00A22460">
        <w:rPr>
          <w:rFonts w:ascii="Times New Roman" w:hAnsi="Times New Roman"/>
          <w:bCs/>
          <w:sz w:val="24"/>
          <w:szCs w:val="24"/>
        </w:rPr>
        <w:t>, 2024).</w:t>
      </w:r>
    </w:p>
    <w:p w14:paraId="0BE24D00" w14:textId="77777777" w:rsidR="003221D5" w:rsidRPr="00A22460" w:rsidRDefault="003221D5" w:rsidP="00AA5D6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2460">
        <w:rPr>
          <w:rFonts w:ascii="Times New Roman" w:hAnsi="Times New Roman"/>
          <w:bCs/>
          <w:sz w:val="24"/>
          <w:szCs w:val="24"/>
        </w:rPr>
        <w:t xml:space="preserve">São muitos os fatores que interferem no desenvolvimento das plantas. Um dos principais fatores relacionados à produtividade das culturas é a limitação ocasionada por fatores edafoclimáticos, e ainda a demanda por altas produtividades </w:t>
      </w:r>
      <w:r w:rsidRPr="00A22460">
        <w:rPr>
          <w:rFonts w:ascii="Times New Roman" w:hAnsi="Times New Roman"/>
          <w:bCs/>
          <w:sz w:val="24"/>
          <w:szCs w:val="24"/>
        </w:rPr>
        <w:t xml:space="preserve">aliadas às questões sustentáveis, como por exemplo, a demanda nutricional e a restrição hídrica de algumas regiões, prejudicando o bom desenvolvimento da cultura da soja (Carvalho </w:t>
      </w:r>
      <w:r w:rsidRPr="00A22460">
        <w:rPr>
          <w:rFonts w:ascii="Times New Roman" w:hAnsi="Times New Roman"/>
          <w:bCs/>
          <w:i/>
          <w:iCs/>
          <w:sz w:val="24"/>
          <w:szCs w:val="24"/>
        </w:rPr>
        <w:t>et al.</w:t>
      </w:r>
      <w:r w:rsidRPr="00A22460">
        <w:rPr>
          <w:rFonts w:ascii="Times New Roman" w:hAnsi="Times New Roman"/>
          <w:bCs/>
          <w:sz w:val="24"/>
          <w:szCs w:val="24"/>
        </w:rPr>
        <w:t>, 2013).</w:t>
      </w:r>
    </w:p>
    <w:p w14:paraId="03B0A5BC" w14:textId="19DDCD56" w:rsidR="003221D5" w:rsidRPr="00A22460" w:rsidRDefault="003221D5" w:rsidP="00AA5D6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2460">
        <w:rPr>
          <w:rFonts w:ascii="Times New Roman" w:hAnsi="Times New Roman"/>
          <w:bCs/>
          <w:sz w:val="24"/>
          <w:szCs w:val="24"/>
        </w:rPr>
        <w:t xml:space="preserve">O estresse por déficit hídrico é um dos fatores abióticos mais importantes que influenciam o crescimento e a produção das plantas (Wu </w:t>
      </w:r>
      <w:r w:rsidRPr="00A22460">
        <w:rPr>
          <w:rFonts w:ascii="Times New Roman" w:hAnsi="Times New Roman"/>
          <w:bCs/>
          <w:i/>
          <w:iCs/>
          <w:sz w:val="24"/>
          <w:szCs w:val="24"/>
        </w:rPr>
        <w:t>et al.</w:t>
      </w:r>
      <w:r w:rsidRPr="00A22460">
        <w:rPr>
          <w:rFonts w:ascii="Times New Roman" w:hAnsi="Times New Roman"/>
          <w:bCs/>
          <w:sz w:val="24"/>
          <w:szCs w:val="24"/>
        </w:rPr>
        <w:t>, 2016). É importante enfatizar que os danos causados pelo estresse hídrico durante o desenvolvimento das culturas (incluindo o processo de germinação, crescimento e reprodução das plantas) podem ser irreversíveis. Durante a fase de germinação, o estresse hídrico afeta a uniformidade e velocidade de germinação e a porcentagem de sementes germinadas, resultando na perda de crescimento da cultura no campo (Castro; Silva, 2023). O estresse hídrico subsequente, durante a fase de crescimento vegetativo, tem um efeito mais pronunciado na fotossíntese, afetando negativamente a produtividade das plantas (</w:t>
      </w:r>
      <w:proofErr w:type="spellStart"/>
      <w:r w:rsidRPr="00A22460">
        <w:rPr>
          <w:rFonts w:ascii="Times New Roman" w:hAnsi="Times New Roman"/>
          <w:bCs/>
          <w:sz w:val="24"/>
          <w:szCs w:val="24"/>
        </w:rPr>
        <w:t>Vurukonda</w:t>
      </w:r>
      <w:proofErr w:type="spellEnd"/>
      <w:r w:rsidRPr="00A22460">
        <w:rPr>
          <w:rFonts w:ascii="Times New Roman" w:hAnsi="Times New Roman"/>
          <w:bCs/>
          <w:sz w:val="24"/>
          <w:szCs w:val="24"/>
        </w:rPr>
        <w:t xml:space="preserve"> </w:t>
      </w:r>
      <w:r w:rsidRPr="00A22460">
        <w:rPr>
          <w:rFonts w:ascii="Times New Roman" w:hAnsi="Times New Roman"/>
          <w:bCs/>
          <w:i/>
          <w:iCs/>
          <w:sz w:val="24"/>
          <w:szCs w:val="24"/>
        </w:rPr>
        <w:t>et al.</w:t>
      </w:r>
      <w:r w:rsidRPr="00A22460">
        <w:rPr>
          <w:rFonts w:ascii="Times New Roman" w:hAnsi="Times New Roman"/>
          <w:bCs/>
          <w:sz w:val="24"/>
          <w:szCs w:val="24"/>
        </w:rPr>
        <w:t>, 2016).</w:t>
      </w:r>
    </w:p>
    <w:p w14:paraId="2AD2E1A2" w14:textId="77777777" w:rsidR="003221D5" w:rsidRPr="00A22460" w:rsidRDefault="003221D5" w:rsidP="00AA5D6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2460">
        <w:rPr>
          <w:rFonts w:ascii="Times New Roman" w:hAnsi="Times New Roman"/>
          <w:bCs/>
          <w:sz w:val="24"/>
          <w:szCs w:val="24"/>
        </w:rPr>
        <w:t xml:space="preserve">Diante dessas circunstâncias, é necessário pensar em novas abordagens para mitigar esses efeitos climáticos que afetam </w:t>
      </w:r>
      <w:r w:rsidRPr="00A22460">
        <w:rPr>
          <w:rFonts w:ascii="Times New Roman" w:hAnsi="Times New Roman"/>
          <w:bCs/>
          <w:sz w:val="24"/>
          <w:szCs w:val="24"/>
        </w:rPr>
        <w:lastRenderedPageBreak/>
        <w:t xml:space="preserve">diretamente as plantas de feijão (Das; </w:t>
      </w:r>
      <w:proofErr w:type="spellStart"/>
      <w:r w:rsidRPr="00A22460">
        <w:rPr>
          <w:rFonts w:ascii="Times New Roman" w:hAnsi="Times New Roman"/>
          <w:bCs/>
          <w:sz w:val="24"/>
          <w:szCs w:val="24"/>
        </w:rPr>
        <w:t>Albinsson</w:t>
      </w:r>
      <w:proofErr w:type="spellEnd"/>
      <w:r w:rsidRPr="00A22460">
        <w:rPr>
          <w:rFonts w:ascii="Times New Roman" w:hAnsi="Times New Roman"/>
          <w:bCs/>
          <w:sz w:val="24"/>
          <w:szCs w:val="24"/>
        </w:rPr>
        <w:t xml:space="preserve">, 2023). Criou-se assim estratégias sustentáveis para enfrentar esses desafios, como forma de se tentar uma mitigação das alterações climáticas para uma proteção eficiente, desde a planta, substâncias bioestimulantes e a microbiota do solo (Cavalcante </w:t>
      </w:r>
      <w:r w:rsidRPr="00A22460">
        <w:rPr>
          <w:rFonts w:ascii="Times New Roman" w:hAnsi="Times New Roman"/>
          <w:bCs/>
          <w:i/>
          <w:iCs/>
          <w:sz w:val="24"/>
          <w:szCs w:val="24"/>
        </w:rPr>
        <w:t>et al.</w:t>
      </w:r>
      <w:r w:rsidRPr="00A22460">
        <w:rPr>
          <w:rFonts w:ascii="Times New Roman" w:hAnsi="Times New Roman"/>
          <w:bCs/>
          <w:sz w:val="24"/>
          <w:szCs w:val="24"/>
        </w:rPr>
        <w:t>, 2020).</w:t>
      </w:r>
    </w:p>
    <w:p w14:paraId="7726D080" w14:textId="77777777" w:rsidR="003221D5" w:rsidRPr="00A22460" w:rsidRDefault="003221D5" w:rsidP="00AA5D6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2460">
        <w:rPr>
          <w:rFonts w:ascii="Times New Roman" w:hAnsi="Times New Roman"/>
          <w:bCs/>
          <w:sz w:val="24"/>
          <w:szCs w:val="24"/>
        </w:rPr>
        <w:t xml:space="preserve">A presença de extratos naturais confere às plantas benefícios fisiológicos. Dentre estes podemos citar as características do balanço hormonal e da </w:t>
      </w:r>
      <w:proofErr w:type="spellStart"/>
      <w:r w:rsidRPr="00A22460">
        <w:rPr>
          <w:rFonts w:ascii="Times New Roman" w:hAnsi="Times New Roman"/>
          <w:bCs/>
          <w:sz w:val="24"/>
          <w:szCs w:val="24"/>
        </w:rPr>
        <w:t>osmoproteção</w:t>
      </w:r>
      <w:proofErr w:type="spellEnd"/>
      <w:r w:rsidRPr="00A22460">
        <w:rPr>
          <w:rFonts w:ascii="Times New Roman" w:hAnsi="Times New Roman"/>
          <w:bCs/>
          <w:sz w:val="24"/>
          <w:szCs w:val="24"/>
        </w:rPr>
        <w:t xml:space="preserve">, que atua no interior das células vegetais, protegendo-as contra a desidratação e mantendo assim, suas atividades metabólicas num nível adequado, mesmo em situações adversas (Prieto </w:t>
      </w:r>
      <w:r w:rsidRPr="00A22460">
        <w:rPr>
          <w:rFonts w:ascii="Times New Roman" w:hAnsi="Times New Roman"/>
          <w:bCs/>
          <w:i/>
          <w:iCs/>
          <w:sz w:val="24"/>
          <w:szCs w:val="24"/>
        </w:rPr>
        <w:t>et al.</w:t>
      </w:r>
      <w:r w:rsidRPr="00A22460">
        <w:rPr>
          <w:rFonts w:ascii="Times New Roman" w:hAnsi="Times New Roman"/>
          <w:bCs/>
          <w:sz w:val="24"/>
          <w:szCs w:val="24"/>
        </w:rPr>
        <w:t xml:space="preserve">, 2017; Cavalcante </w:t>
      </w:r>
      <w:r w:rsidRPr="00A22460">
        <w:rPr>
          <w:rFonts w:ascii="Times New Roman" w:hAnsi="Times New Roman"/>
          <w:bCs/>
          <w:i/>
          <w:iCs/>
          <w:sz w:val="24"/>
          <w:szCs w:val="24"/>
        </w:rPr>
        <w:t>et al.</w:t>
      </w:r>
      <w:r w:rsidRPr="00A22460">
        <w:rPr>
          <w:rFonts w:ascii="Times New Roman" w:hAnsi="Times New Roman"/>
          <w:bCs/>
          <w:sz w:val="24"/>
          <w:szCs w:val="24"/>
        </w:rPr>
        <w:t>, 2020).</w:t>
      </w:r>
    </w:p>
    <w:p w14:paraId="2719B7BC" w14:textId="146B2E3B" w:rsidR="003221D5" w:rsidRPr="00A22460" w:rsidRDefault="003221D5" w:rsidP="00AA5D6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2460">
        <w:rPr>
          <w:rFonts w:ascii="Times New Roman" w:hAnsi="Times New Roman"/>
          <w:bCs/>
          <w:sz w:val="24"/>
          <w:szCs w:val="24"/>
        </w:rPr>
        <w:t>Os bioestimulantes são definidos como mistura de dois ou mais reguladores vegetais com outras substâncias (aminoácidos, extratos naturais, nutrientes e vitaminas) (</w:t>
      </w:r>
      <w:proofErr w:type="spellStart"/>
      <w:r w:rsidRPr="00A22460">
        <w:rPr>
          <w:rFonts w:ascii="Times New Roman" w:hAnsi="Times New Roman"/>
          <w:bCs/>
          <w:sz w:val="24"/>
          <w:szCs w:val="24"/>
        </w:rPr>
        <w:t>Traon</w:t>
      </w:r>
      <w:proofErr w:type="spellEnd"/>
      <w:r w:rsidRPr="00A22460">
        <w:rPr>
          <w:rFonts w:ascii="Times New Roman" w:hAnsi="Times New Roman"/>
          <w:bCs/>
          <w:sz w:val="24"/>
          <w:szCs w:val="24"/>
        </w:rPr>
        <w:t xml:space="preserve"> </w:t>
      </w:r>
      <w:r w:rsidRPr="00A22460">
        <w:rPr>
          <w:rFonts w:ascii="Times New Roman" w:hAnsi="Times New Roman"/>
          <w:bCs/>
          <w:i/>
          <w:iCs/>
          <w:sz w:val="24"/>
          <w:szCs w:val="24"/>
        </w:rPr>
        <w:t>et al.</w:t>
      </w:r>
      <w:r w:rsidRPr="00A22460">
        <w:rPr>
          <w:rFonts w:ascii="Times New Roman" w:hAnsi="Times New Roman"/>
          <w:bCs/>
          <w:sz w:val="24"/>
          <w:szCs w:val="24"/>
        </w:rPr>
        <w:t xml:space="preserve">, 2014; Silva </w:t>
      </w:r>
      <w:r w:rsidRPr="00A22460">
        <w:rPr>
          <w:rFonts w:ascii="Times New Roman" w:hAnsi="Times New Roman"/>
          <w:bCs/>
          <w:i/>
          <w:iCs/>
          <w:sz w:val="24"/>
          <w:szCs w:val="24"/>
        </w:rPr>
        <w:t>et al.</w:t>
      </w:r>
      <w:r w:rsidRPr="00A22460">
        <w:rPr>
          <w:rFonts w:ascii="Times New Roman" w:hAnsi="Times New Roman"/>
          <w:bCs/>
          <w:sz w:val="24"/>
          <w:szCs w:val="24"/>
        </w:rPr>
        <w:t xml:space="preserve">, 2017; </w:t>
      </w:r>
      <w:proofErr w:type="spellStart"/>
      <w:r w:rsidRPr="00A22460">
        <w:rPr>
          <w:rFonts w:ascii="Times New Roman" w:hAnsi="Times New Roman"/>
          <w:bCs/>
          <w:sz w:val="24"/>
          <w:szCs w:val="24"/>
        </w:rPr>
        <w:t>Yakhin</w:t>
      </w:r>
      <w:proofErr w:type="spellEnd"/>
      <w:r w:rsidRPr="00A22460">
        <w:rPr>
          <w:rFonts w:ascii="Times New Roman" w:hAnsi="Times New Roman"/>
          <w:bCs/>
          <w:sz w:val="24"/>
          <w:szCs w:val="24"/>
        </w:rPr>
        <w:t xml:space="preserve"> </w:t>
      </w:r>
      <w:r w:rsidRPr="00A22460">
        <w:rPr>
          <w:rFonts w:ascii="Times New Roman" w:hAnsi="Times New Roman"/>
          <w:bCs/>
          <w:i/>
          <w:iCs/>
          <w:sz w:val="24"/>
          <w:szCs w:val="24"/>
        </w:rPr>
        <w:t>et al.</w:t>
      </w:r>
      <w:r w:rsidRPr="00A22460">
        <w:rPr>
          <w:rFonts w:ascii="Times New Roman" w:hAnsi="Times New Roman"/>
          <w:bCs/>
          <w:sz w:val="24"/>
          <w:szCs w:val="24"/>
        </w:rPr>
        <w:t>, 2017), produtos esses que durante o ciclo de desenvolvimento das culturas, podem, dependendo de sua composição, concentração e proporção das substâncias, estimular o crescimento vegetal através de uma maior divisão celular, elongação celular e diferenciação celular, e, dessa forma, aumentar a capacidade de absorção de nutrientes e água, refletindo diretamente no desenvolvimento (germinação de sementes, crescimento</w:t>
      </w:r>
      <w:r w:rsidR="00B16595" w:rsidRPr="00A22460">
        <w:rPr>
          <w:rFonts w:ascii="Times New Roman" w:hAnsi="Times New Roman"/>
          <w:bCs/>
          <w:sz w:val="24"/>
          <w:szCs w:val="24"/>
        </w:rPr>
        <w:t>,</w:t>
      </w:r>
      <w:r w:rsidRPr="00A22460">
        <w:rPr>
          <w:rFonts w:ascii="Times New Roman" w:hAnsi="Times New Roman"/>
          <w:bCs/>
          <w:sz w:val="24"/>
          <w:szCs w:val="24"/>
        </w:rPr>
        <w:t xml:space="preserve"> desenvolvimento, floração, frutificação</w:t>
      </w:r>
      <w:r w:rsidR="00B16595" w:rsidRPr="00A22460">
        <w:rPr>
          <w:rFonts w:ascii="Times New Roman" w:hAnsi="Times New Roman"/>
          <w:bCs/>
          <w:sz w:val="24"/>
          <w:szCs w:val="24"/>
        </w:rPr>
        <w:t xml:space="preserve"> e</w:t>
      </w:r>
      <w:r w:rsidRPr="00A22460">
        <w:rPr>
          <w:rFonts w:ascii="Times New Roman" w:hAnsi="Times New Roman"/>
          <w:bCs/>
          <w:sz w:val="24"/>
          <w:szCs w:val="24"/>
        </w:rPr>
        <w:t xml:space="preserve"> senescência) e na produtividade das culturas (Kolling </w:t>
      </w:r>
      <w:r w:rsidRPr="00A22460">
        <w:rPr>
          <w:rFonts w:ascii="Times New Roman" w:hAnsi="Times New Roman"/>
          <w:bCs/>
          <w:i/>
          <w:iCs/>
          <w:sz w:val="24"/>
          <w:szCs w:val="24"/>
        </w:rPr>
        <w:t>et al.</w:t>
      </w:r>
      <w:r w:rsidR="00B16595" w:rsidRPr="00A22460">
        <w:rPr>
          <w:rFonts w:ascii="Times New Roman" w:hAnsi="Times New Roman"/>
          <w:bCs/>
          <w:sz w:val="24"/>
          <w:szCs w:val="24"/>
        </w:rPr>
        <w:t>,</w:t>
      </w:r>
      <w:r w:rsidRPr="00A22460">
        <w:rPr>
          <w:rFonts w:ascii="Times New Roman" w:hAnsi="Times New Roman"/>
          <w:bCs/>
          <w:sz w:val="24"/>
          <w:szCs w:val="24"/>
        </w:rPr>
        <w:t xml:space="preserve"> 2016; Silva </w:t>
      </w:r>
      <w:r w:rsidRPr="00A22460">
        <w:rPr>
          <w:rFonts w:ascii="Times New Roman" w:hAnsi="Times New Roman"/>
          <w:bCs/>
          <w:i/>
          <w:iCs/>
          <w:sz w:val="24"/>
          <w:szCs w:val="24"/>
        </w:rPr>
        <w:t>et al.</w:t>
      </w:r>
      <w:r w:rsidR="00B16595" w:rsidRPr="00A22460">
        <w:rPr>
          <w:rFonts w:ascii="Times New Roman" w:hAnsi="Times New Roman"/>
          <w:bCs/>
          <w:sz w:val="24"/>
          <w:szCs w:val="24"/>
        </w:rPr>
        <w:t>,</w:t>
      </w:r>
      <w:r w:rsidRPr="00A22460">
        <w:rPr>
          <w:rFonts w:ascii="Times New Roman" w:hAnsi="Times New Roman"/>
          <w:bCs/>
          <w:sz w:val="24"/>
          <w:szCs w:val="24"/>
        </w:rPr>
        <w:t xml:space="preserve"> 2017; Cavalcante </w:t>
      </w:r>
      <w:r w:rsidRPr="00A22460">
        <w:rPr>
          <w:rFonts w:ascii="Times New Roman" w:hAnsi="Times New Roman"/>
          <w:bCs/>
          <w:i/>
          <w:iCs/>
          <w:sz w:val="24"/>
          <w:szCs w:val="24"/>
        </w:rPr>
        <w:t>et al.</w:t>
      </w:r>
      <w:r w:rsidR="00B16595" w:rsidRPr="00A22460">
        <w:rPr>
          <w:rFonts w:ascii="Times New Roman" w:hAnsi="Times New Roman"/>
          <w:bCs/>
          <w:sz w:val="24"/>
          <w:szCs w:val="24"/>
        </w:rPr>
        <w:t>,</w:t>
      </w:r>
      <w:r w:rsidRPr="00A22460">
        <w:rPr>
          <w:rFonts w:ascii="Times New Roman" w:hAnsi="Times New Roman"/>
          <w:bCs/>
          <w:sz w:val="24"/>
          <w:szCs w:val="24"/>
        </w:rPr>
        <w:t xml:space="preserve"> 2020).</w:t>
      </w:r>
    </w:p>
    <w:p w14:paraId="20AA7D3E" w14:textId="77777777" w:rsidR="003221D5" w:rsidRPr="00A22460" w:rsidRDefault="003221D5" w:rsidP="00AA5D6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2460">
        <w:rPr>
          <w:rFonts w:ascii="Times New Roman" w:hAnsi="Times New Roman"/>
          <w:bCs/>
          <w:sz w:val="24"/>
          <w:szCs w:val="24"/>
        </w:rPr>
        <w:t xml:space="preserve">No solo, as plantas interagem com os microrganismos ali presentes, oferecendo um ambiente bastante específico para o desenvolvimento e crescimento natural de comunidades microbianas. Durante o processo evolutivo, essas comunidades desenvolveram habilidades e estratégias que possibilitaram sua interação com as plantas (Deng </w:t>
      </w:r>
      <w:r w:rsidRPr="00A22460">
        <w:rPr>
          <w:rFonts w:ascii="Times New Roman" w:hAnsi="Times New Roman"/>
          <w:bCs/>
          <w:i/>
          <w:iCs/>
          <w:sz w:val="24"/>
          <w:szCs w:val="24"/>
        </w:rPr>
        <w:t>et al.</w:t>
      </w:r>
      <w:r w:rsidRPr="00A22460">
        <w:rPr>
          <w:rFonts w:ascii="Times New Roman" w:hAnsi="Times New Roman"/>
          <w:bCs/>
          <w:sz w:val="24"/>
          <w:szCs w:val="24"/>
        </w:rPr>
        <w:t xml:space="preserve">, 2022). Essas interações podem trazer benefícios, portanto, sem causar danos </w:t>
      </w:r>
      <w:r w:rsidRPr="00A22460">
        <w:rPr>
          <w:rFonts w:ascii="Times New Roman" w:hAnsi="Times New Roman"/>
          <w:bCs/>
          <w:sz w:val="24"/>
          <w:szCs w:val="24"/>
        </w:rPr>
        <w:t xml:space="preserve">para as plantas, ou podem trazer malefícios, quando microrganismos patogênicos provocam desequilíbrio bioquímico e fisiológico nas plantas, gerando diferentes tipos de doenças (Álvarez </w:t>
      </w:r>
      <w:r w:rsidRPr="00A22460">
        <w:rPr>
          <w:rFonts w:ascii="Times New Roman" w:hAnsi="Times New Roman"/>
          <w:bCs/>
          <w:i/>
          <w:iCs/>
          <w:sz w:val="24"/>
          <w:szCs w:val="24"/>
        </w:rPr>
        <w:t>et al.</w:t>
      </w:r>
      <w:r w:rsidRPr="00A22460">
        <w:rPr>
          <w:rFonts w:ascii="Times New Roman" w:hAnsi="Times New Roman"/>
          <w:bCs/>
          <w:sz w:val="24"/>
          <w:szCs w:val="24"/>
        </w:rPr>
        <w:t>, 2016).</w:t>
      </w:r>
    </w:p>
    <w:p w14:paraId="4793741D" w14:textId="72CB7740" w:rsidR="003221D5" w:rsidRPr="00A22460" w:rsidRDefault="003221D5" w:rsidP="00AA5D6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2460">
        <w:rPr>
          <w:rFonts w:ascii="Times New Roman" w:hAnsi="Times New Roman"/>
          <w:bCs/>
          <w:sz w:val="24"/>
          <w:szCs w:val="24"/>
        </w:rPr>
        <w:t xml:space="preserve">Dentre vários microrganismos que </w:t>
      </w:r>
      <w:r w:rsidR="00E649C3" w:rsidRPr="00A22460">
        <w:rPr>
          <w:rFonts w:ascii="Times New Roman" w:hAnsi="Times New Roman"/>
          <w:bCs/>
          <w:sz w:val="24"/>
          <w:szCs w:val="24"/>
        </w:rPr>
        <w:t xml:space="preserve">têm </w:t>
      </w:r>
      <w:r w:rsidRPr="00A22460">
        <w:rPr>
          <w:rFonts w:ascii="Times New Roman" w:hAnsi="Times New Roman"/>
          <w:bCs/>
          <w:sz w:val="24"/>
          <w:szCs w:val="24"/>
        </w:rPr>
        <w:t>sido caracterizado</w:t>
      </w:r>
      <w:r w:rsidR="00B16595" w:rsidRPr="00A22460">
        <w:rPr>
          <w:rFonts w:ascii="Times New Roman" w:hAnsi="Times New Roman"/>
          <w:bCs/>
          <w:sz w:val="24"/>
          <w:szCs w:val="24"/>
        </w:rPr>
        <w:t>s</w:t>
      </w:r>
      <w:r w:rsidRPr="00A22460">
        <w:rPr>
          <w:rFonts w:ascii="Times New Roman" w:hAnsi="Times New Roman"/>
          <w:bCs/>
          <w:sz w:val="24"/>
          <w:szCs w:val="24"/>
        </w:rPr>
        <w:t xml:space="preserve"> como capazes de incrementar o crescimento vegetal, destaca-se aqui bactérias do gênero </w:t>
      </w:r>
      <w:r w:rsidRPr="00A22460">
        <w:rPr>
          <w:rFonts w:ascii="Times New Roman" w:hAnsi="Times New Roman"/>
          <w:bCs/>
          <w:i/>
          <w:sz w:val="24"/>
          <w:szCs w:val="24"/>
        </w:rPr>
        <w:t>Bacillus</w:t>
      </w:r>
      <w:r w:rsidRPr="00A22460">
        <w:rPr>
          <w:rFonts w:ascii="Times New Roman" w:hAnsi="Times New Roman"/>
          <w:bCs/>
          <w:sz w:val="24"/>
          <w:szCs w:val="24"/>
        </w:rPr>
        <w:t xml:space="preserve"> e fungos do gênero </w:t>
      </w:r>
      <w:proofErr w:type="spellStart"/>
      <w:r w:rsidRPr="00A22460">
        <w:rPr>
          <w:rFonts w:ascii="Times New Roman" w:hAnsi="Times New Roman"/>
          <w:bCs/>
          <w:i/>
          <w:sz w:val="24"/>
          <w:szCs w:val="24"/>
        </w:rPr>
        <w:t>Trichoderma</w:t>
      </w:r>
      <w:proofErr w:type="spellEnd"/>
      <w:r w:rsidRPr="00A22460">
        <w:rPr>
          <w:rFonts w:ascii="Times New Roman" w:hAnsi="Times New Roman"/>
          <w:bCs/>
          <w:sz w:val="24"/>
          <w:szCs w:val="24"/>
        </w:rPr>
        <w:t xml:space="preserve">, os quais exibem capacidade de fixação e solubilização de nutrientes essenciais e fornecem metabólitos envolvidos no mecanismo de tolerância aos estresses abióticos (Chagas </w:t>
      </w:r>
      <w:r w:rsidRPr="00A22460">
        <w:rPr>
          <w:rFonts w:ascii="Times New Roman" w:hAnsi="Times New Roman"/>
          <w:bCs/>
          <w:i/>
          <w:iCs/>
          <w:sz w:val="24"/>
          <w:szCs w:val="24"/>
        </w:rPr>
        <w:t>et al.</w:t>
      </w:r>
      <w:r w:rsidRPr="00A22460">
        <w:rPr>
          <w:rFonts w:ascii="Times New Roman" w:hAnsi="Times New Roman"/>
          <w:bCs/>
          <w:sz w:val="24"/>
          <w:szCs w:val="24"/>
        </w:rPr>
        <w:t xml:space="preserve">, 2017; </w:t>
      </w:r>
      <w:proofErr w:type="spellStart"/>
      <w:r w:rsidRPr="00A22460">
        <w:rPr>
          <w:rFonts w:ascii="Times New Roman" w:hAnsi="Times New Roman"/>
          <w:bCs/>
          <w:sz w:val="24"/>
          <w:szCs w:val="24"/>
        </w:rPr>
        <w:t>Su</w:t>
      </w:r>
      <w:proofErr w:type="spellEnd"/>
      <w:r w:rsidRPr="00A22460">
        <w:rPr>
          <w:rFonts w:ascii="Times New Roman" w:hAnsi="Times New Roman"/>
          <w:bCs/>
          <w:sz w:val="24"/>
          <w:szCs w:val="24"/>
        </w:rPr>
        <w:t xml:space="preserve"> </w:t>
      </w:r>
      <w:r w:rsidRPr="00A22460">
        <w:rPr>
          <w:rFonts w:ascii="Times New Roman" w:hAnsi="Times New Roman"/>
          <w:bCs/>
          <w:i/>
          <w:iCs/>
          <w:sz w:val="24"/>
          <w:szCs w:val="24"/>
        </w:rPr>
        <w:t>et al.</w:t>
      </w:r>
      <w:r w:rsidRPr="00A22460">
        <w:rPr>
          <w:rFonts w:ascii="Times New Roman" w:hAnsi="Times New Roman"/>
          <w:bCs/>
          <w:sz w:val="24"/>
          <w:szCs w:val="24"/>
        </w:rPr>
        <w:t>, 2017</w:t>
      </w:r>
      <w:r w:rsidR="00B16595" w:rsidRPr="00A22460">
        <w:rPr>
          <w:rFonts w:ascii="Times New Roman" w:hAnsi="Times New Roman"/>
          <w:bCs/>
          <w:sz w:val="24"/>
          <w:szCs w:val="24"/>
        </w:rPr>
        <w:t xml:space="preserve">; </w:t>
      </w:r>
      <w:r w:rsidRPr="00A22460">
        <w:rPr>
          <w:rFonts w:ascii="Times New Roman" w:hAnsi="Times New Roman"/>
          <w:bCs/>
          <w:sz w:val="24"/>
          <w:szCs w:val="24"/>
        </w:rPr>
        <w:t xml:space="preserve">Sousa </w:t>
      </w:r>
      <w:r w:rsidRPr="00A22460">
        <w:rPr>
          <w:rFonts w:ascii="Times New Roman" w:hAnsi="Times New Roman"/>
          <w:bCs/>
          <w:i/>
          <w:iCs/>
          <w:sz w:val="24"/>
          <w:szCs w:val="24"/>
        </w:rPr>
        <w:t>et al.</w:t>
      </w:r>
      <w:r w:rsidRPr="00A22460">
        <w:rPr>
          <w:rFonts w:ascii="Times New Roman" w:hAnsi="Times New Roman"/>
          <w:bCs/>
          <w:sz w:val="24"/>
          <w:szCs w:val="24"/>
        </w:rPr>
        <w:t>, 2023).</w:t>
      </w:r>
    </w:p>
    <w:p w14:paraId="28DE0EF9" w14:textId="6DC9BAF6" w:rsidR="003221D5" w:rsidRPr="00A22460" w:rsidRDefault="003221D5" w:rsidP="00AA5D6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2460">
        <w:rPr>
          <w:rFonts w:ascii="Times New Roman" w:hAnsi="Times New Roman"/>
          <w:bCs/>
          <w:sz w:val="24"/>
          <w:szCs w:val="24"/>
        </w:rPr>
        <w:t>A hipótese do estudo é que a aplicação via tratamento sementes de bioestimulantes e microrganismos específicos pode reduzir os impactos negativos do déficit hídrico na cultura do feijão (</w:t>
      </w:r>
      <w:proofErr w:type="spellStart"/>
      <w:r w:rsidRPr="00A22460">
        <w:rPr>
          <w:rFonts w:ascii="Times New Roman" w:hAnsi="Times New Roman"/>
          <w:bCs/>
          <w:i/>
          <w:iCs/>
          <w:sz w:val="24"/>
          <w:szCs w:val="24"/>
        </w:rPr>
        <w:t>Phaseolus</w:t>
      </w:r>
      <w:proofErr w:type="spellEnd"/>
      <w:r w:rsidRPr="00A2246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A22460">
        <w:rPr>
          <w:rFonts w:ascii="Times New Roman" w:hAnsi="Times New Roman"/>
          <w:bCs/>
          <w:i/>
          <w:iCs/>
          <w:sz w:val="24"/>
          <w:szCs w:val="24"/>
        </w:rPr>
        <w:t>vulgaris</w:t>
      </w:r>
      <w:proofErr w:type="spellEnd"/>
      <w:r w:rsidRPr="00A22460">
        <w:rPr>
          <w:rFonts w:ascii="Times New Roman" w:hAnsi="Times New Roman"/>
          <w:bCs/>
          <w:sz w:val="24"/>
          <w:szCs w:val="24"/>
        </w:rPr>
        <w:t xml:space="preserve"> L.), promovendo maior resistência ao déficit hídrico, além de melhorar o crescimento e desenvolvimento das plantas. Essa intervenção, aplicada em condições controladas da casa de vegetação e com diferentes níveis de reposição hídrica, permitirá avaliar se os bioestimulantes e microrganismos contribuem para manter a atividade metabólica das plantas, em condições adversas típicas do Cerrado brasileiro. Neste contexto, </w:t>
      </w:r>
      <w:r w:rsidR="00421879" w:rsidRPr="00A22460">
        <w:rPr>
          <w:rFonts w:ascii="Times New Roman" w:hAnsi="Times New Roman"/>
          <w:bCs/>
          <w:sz w:val="24"/>
          <w:szCs w:val="24"/>
        </w:rPr>
        <w:t>objetivou-se</w:t>
      </w:r>
      <w:r w:rsidRPr="00A22460">
        <w:rPr>
          <w:rFonts w:ascii="Times New Roman" w:hAnsi="Times New Roman"/>
          <w:bCs/>
          <w:sz w:val="24"/>
          <w:szCs w:val="24"/>
        </w:rPr>
        <w:t xml:space="preserve"> com o presente estudo avaliar a influência de regimes hídricos nas variáveis biométricas da cultura do </w:t>
      </w:r>
      <w:r w:rsidR="00421879" w:rsidRPr="00A22460">
        <w:rPr>
          <w:rFonts w:ascii="Times New Roman" w:hAnsi="Times New Roman"/>
          <w:bCs/>
          <w:sz w:val="24"/>
          <w:szCs w:val="24"/>
        </w:rPr>
        <w:t>feijão via</w:t>
      </w:r>
      <w:r w:rsidRPr="00A22460">
        <w:rPr>
          <w:rFonts w:ascii="Times New Roman" w:hAnsi="Times New Roman"/>
          <w:bCs/>
          <w:sz w:val="24"/>
          <w:szCs w:val="24"/>
        </w:rPr>
        <w:t xml:space="preserve"> tratamento de semente</w:t>
      </w:r>
      <w:r w:rsidR="00920FF9" w:rsidRPr="00A22460">
        <w:rPr>
          <w:rFonts w:ascii="Times New Roman" w:hAnsi="Times New Roman"/>
          <w:bCs/>
          <w:sz w:val="24"/>
          <w:szCs w:val="24"/>
        </w:rPr>
        <w:t>.</w:t>
      </w:r>
    </w:p>
    <w:p w14:paraId="1BAB7D13" w14:textId="191C9573" w:rsidR="00845683" w:rsidRDefault="00845683" w:rsidP="00AA5D66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789E1F89" w14:textId="77777777" w:rsidR="00AA5D66" w:rsidRPr="00A22460" w:rsidRDefault="00AA5D66" w:rsidP="00AA5D66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53360FBE" w14:textId="5F0B17E6" w:rsidR="00C75629" w:rsidRPr="00A22460" w:rsidRDefault="00024317" w:rsidP="00AA5D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2460">
        <w:rPr>
          <w:rFonts w:ascii="Times New Roman" w:hAnsi="Times New Roman"/>
          <w:b/>
          <w:sz w:val="24"/>
          <w:szCs w:val="24"/>
        </w:rPr>
        <w:t xml:space="preserve">4 </w:t>
      </w:r>
      <w:r w:rsidR="00D74FC0" w:rsidRPr="00A22460">
        <w:rPr>
          <w:rFonts w:ascii="Times New Roman" w:hAnsi="Times New Roman"/>
          <w:b/>
          <w:sz w:val="24"/>
          <w:szCs w:val="24"/>
        </w:rPr>
        <w:t>MATERIAL E MÉTODOS</w:t>
      </w:r>
    </w:p>
    <w:p w14:paraId="3EF3FED7" w14:textId="77777777" w:rsidR="00057C96" w:rsidRPr="00A22460" w:rsidRDefault="00057C96" w:rsidP="00AA5D6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6907A0E" w14:textId="76C7F959" w:rsidR="00861032" w:rsidRPr="00A22460" w:rsidRDefault="00861032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 xml:space="preserve">O ensaio foi realizado em uma </w:t>
      </w:r>
      <w:r w:rsidR="00DC67C8" w:rsidRPr="00A22460">
        <w:rPr>
          <w:rFonts w:ascii="Times New Roman" w:hAnsi="Times New Roman"/>
          <w:sz w:val="24"/>
          <w:szCs w:val="24"/>
        </w:rPr>
        <w:t>casa de vegetação</w:t>
      </w:r>
      <w:r w:rsidRPr="00A22460">
        <w:rPr>
          <w:rFonts w:ascii="Times New Roman" w:hAnsi="Times New Roman"/>
          <w:sz w:val="24"/>
          <w:szCs w:val="24"/>
        </w:rPr>
        <w:t xml:space="preserve"> localizada na Fazenda Fontes do Saber, na Faculdade de agronomia da Universidade de Rio Verde – </w:t>
      </w:r>
      <w:proofErr w:type="spellStart"/>
      <w:r w:rsidRPr="00A22460">
        <w:rPr>
          <w:rFonts w:ascii="Times New Roman" w:hAnsi="Times New Roman"/>
          <w:sz w:val="24"/>
          <w:szCs w:val="24"/>
        </w:rPr>
        <w:t>UniRV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 (</w:t>
      </w:r>
      <w:r w:rsidR="008D762D" w:rsidRPr="00A22460">
        <w:rPr>
          <w:rFonts w:ascii="Times New Roman" w:hAnsi="Times New Roman"/>
          <w:sz w:val="24"/>
          <w:szCs w:val="24"/>
        </w:rPr>
        <w:t>17°47'14.3"S 50°57'53.9"W),</w:t>
      </w:r>
      <w:r w:rsidRPr="00A22460">
        <w:rPr>
          <w:rFonts w:ascii="Times New Roman" w:hAnsi="Times New Roman"/>
          <w:sz w:val="24"/>
          <w:szCs w:val="24"/>
        </w:rPr>
        <w:t xml:space="preserve"> entre os meses de maio e junho de 2024.</w:t>
      </w:r>
    </w:p>
    <w:p w14:paraId="2B1D4AE9" w14:textId="77777777" w:rsidR="000A312E" w:rsidRDefault="00B13868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  <w:sectPr w:rsidR="000A312E" w:rsidSect="00665729">
          <w:type w:val="continuous"/>
          <w:pgSz w:w="11906" w:h="16838"/>
          <w:pgMar w:top="1701" w:right="1134" w:bottom="1701" w:left="1701" w:header="709" w:footer="709" w:gutter="0"/>
          <w:cols w:num="2" w:space="567"/>
          <w:titlePg/>
          <w:docGrid w:linePitch="360"/>
        </w:sectPr>
      </w:pPr>
      <w:r w:rsidRPr="00A22460">
        <w:rPr>
          <w:rFonts w:ascii="Times New Roman" w:hAnsi="Times New Roman"/>
          <w:sz w:val="24"/>
          <w:szCs w:val="24"/>
        </w:rPr>
        <w:t xml:space="preserve">O solo utilizado nos vasos foi coletado na faculdade em uma área de cultivo na camada de 0,0-0,20 m e </w:t>
      </w:r>
      <w:r w:rsidRPr="00A22460">
        <w:rPr>
          <w:rFonts w:ascii="Times New Roman" w:hAnsi="Times New Roman"/>
          <w:sz w:val="24"/>
          <w:szCs w:val="24"/>
        </w:rPr>
        <w:lastRenderedPageBreak/>
        <w:t xml:space="preserve">classificado como </w:t>
      </w:r>
      <w:r w:rsidR="00D448B6" w:rsidRPr="00A22460">
        <w:rPr>
          <w:rFonts w:ascii="Times New Roman" w:hAnsi="Times New Roman"/>
          <w:sz w:val="24"/>
          <w:szCs w:val="24"/>
        </w:rPr>
        <w:t xml:space="preserve">Latossolo Vermelho </w:t>
      </w:r>
      <w:proofErr w:type="spellStart"/>
      <w:r w:rsidR="00D448B6" w:rsidRPr="00A22460">
        <w:rPr>
          <w:rFonts w:ascii="Times New Roman" w:hAnsi="Times New Roman"/>
          <w:sz w:val="24"/>
          <w:szCs w:val="24"/>
        </w:rPr>
        <w:t>distroférrico</w:t>
      </w:r>
      <w:proofErr w:type="spellEnd"/>
      <w:r w:rsidR="00D448B6" w:rsidRPr="00A22460">
        <w:rPr>
          <w:rFonts w:ascii="Times New Roman" w:hAnsi="Times New Roman"/>
          <w:sz w:val="24"/>
          <w:szCs w:val="24"/>
        </w:rPr>
        <w:t xml:space="preserve"> </w:t>
      </w:r>
      <w:r w:rsidRPr="00A22460">
        <w:rPr>
          <w:rFonts w:ascii="Times New Roman" w:hAnsi="Times New Roman"/>
          <w:sz w:val="24"/>
          <w:szCs w:val="24"/>
        </w:rPr>
        <w:t>(</w:t>
      </w:r>
      <w:proofErr w:type="spellStart"/>
      <w:r w:rsidRPr="00A22460">
        <w:rPr>
          <w:rFonts w:ascii="Times New Roman" w:hAnsi="Times New Roman"/>
          <w:sz w:val="24"/>
          <w:szCs w:val="24"/>
        </w:rPr>
        <w:t>LVdf</w:t>
      </w:r>
      <w:proofErr w:type="spellEnd"/>
      <w:r w:rsidRPr="00A22460">
        <w:rPr>
          <w:rFonts w:ascii="Times New Roman" w:hAnsi="Times New Roman"/>
          <w:sz w:val="24"/>
          <w:szCs w:val="24"/>
        </w:rPr>
        <w:t>), típico, textura muito argilosa</w:t>
      </w:r>
      <w:r w:rsidR="00DC67C8" w:rsidRPr="00A22460">
        <w:rPr>
          <w:rFonts w:ascii="Times New Roman" w:hAnsi="Times New Roman"/>
          <w:sz w:val="24"/>
          <w:szCs w:val="24"/>
        </w:rPr>
        <w:t xml:space="preserve"> e </w:t>
      </w:r>
      <w:r w:rsidRPr="00A22460">
        <w:rPr>
          <w:rFonts w:ascii="Times New Roman" w:hAnsi="Times New Roman"/>
          <w:sz w:val="24"/>
          <w:szCs w:val="24"/>
        </w:rPr>
        <w:t>fase cerrado (</w:t>
      </w:r>
      <w:r w:rsidR="00D448B6" w:rsidRPr="00A22460">
        <w:rPr>
          <w:rFonts w:ascii="Times New Roman" w:hAnsi="Times New Roman"/>
          <w:sz w:val="24"/>
          <w:szCs w:val="24"/>
        </w:rPr>
        <w:t>Santos</w:t>
      </w:r>
      <w:r w:rsidRPr="00A22460">
        <w:rPr>
          <w:rFonts w:ascii="Times New Roman" w:hAnsi="Times New Roman"/>
          <w:sz w:val="24"/>
          <w:szCs w:val="24"/>
        </w:rPr>
        <w:t xml:space="preserve"> </w:t>
      </w:r>
      <w:r w:rsidRPr="00A22460">
        <w:rPr>
          <w:rFonts w:ascii="Times New Roman" w:hAnsi="Times New Roman"/>
          <w:i/>
          <w:iCs/>
          <w:sz w:val="24"/>
          <w:szCs w:val="24"/>
        </w:rPr>
        <w:t>et al.</w:t>
      </w:r>
      <w:r w:rsidRPr="00A22460">
        <w:rPr>
          <w:rFonts w:ascii="Times New Roman" w:hAnsi="Times New Roman"/>
          <w:sz w:val="24"/>
          <w:szCs w:val="24"/>
        </w:rPr>
        <w:t>, 2018). Antes da instalação do experimento nos vasos foi realizada</w:t>
      </w:r>
      <w:r w:rsidR="00DC67C8" w:rsidRPr="00A22460">
        <w:rPr>
          <w:rFonts w:ascii="Times New Roman" w:hAnsi="Times New Roman"/>
          <w:sz w:val="24"/>
          <w:szCs w:val="24"/>
        </w:rPr>
        <w:t xml:space="preserve"> a</w:t>
      </w:r>
      <w:r w:rsidRPr="00A22460">
        <w:rPr>
          <w:rFonts w:ascii="Times New Roman" w:hAnsi="Times New Roman"/>
          <w:sz w:val="24"/>
          <w:szCs w:val="24"/>
        </w:rPr>
        <w:t xml:space="preserve"> amostragem do solo </w:t>
      </w:r>
      <w:r w:rsidRPr="00A22460">
        <w:rPr>
          <w:rFonts w:ascii="Times New Roman" w:hAnsi="Times New Roman"/>
          <w:sz w:val="24"/>
          <w:szCs w:val="24"/>
        </w:rPr>
        <w:t xml:space="preserve">para a caracterização físico-química, </w:t>
      </w:r>
      <w:r w:rsidR="00DC67C8" w:rsidRPr="00A22460">
        <w:rPr>
          <w:rFonts w:ascii="Times New Roman" w:hAnsi="Times New Roman"/>
          <w:sz w:val="24"/>
          <w:szCs w:val="24"/>
        </w:rPr>
        <w:t xml:space="preserve">onde </w:t>
      </w:r>
      <w:r w:rsidRPr="00A22460">
        <w:rPr>
          <w:rFonts w:ascii="Times New Roman" w:hAnsi="Times New Roman"/>
          <w:sz w:val="24"/>
          <w:szCs w:val="24"/>
        </w:rPr>
        <w:t xml:space="preserve">foram analisadas conforme metodologias descritas por Teixeira </w:t>
      </w:r>
      <w:r w:rsidRPr="00A22460">
        <w:rPr>
          <w:rFonts w:ascii="Times New Roman" w:hAnsi="Times New Roman"/>
          <w:i/>
          <w:iCs/>
          <w:sz w:val="24"/>
          <w:szCs w:val="24"/>
        </w:rPr>
        <w:t>et al</w:t>
      </w:r>
      <w:r w:rsidR="00DC67C8" w:rsidRPr="00A22460">
        <w:rPr>
          <w:rFonts w:ascii="Times New Roman" w:hAnsi="Times New Roman"/>
          <w:i/>
          <w:iCs/>
          <w:sz w:val="24"/>
          <w:szCs w:val="24"/>
        </w:rPr>
        <w:t>.</w:t>
      </w:r>
      <w:r w:rsidR="00DC67C8" w:rsidRPr="00A22460">
        <w:rPr>
          <w:rFonts w:ascii="Times New Roman" w:hAnsi="Times New Roman"/>
          <w:sz w:val="24"/>
          <w:szCs w:val="24"/>
        </w:rPr>
        <w:t xml:space="preserve"> (</w:t>
      </w:r>
      <w:r w:rsidRPr="00A22460">
        <w:rPr>
          <w:rFonts w:ascii="Times New Roman" w:hAnsi="Times New Roman"/>
          <w:sz w:val="24"/>
          <w:szCs w:val="24"/>
        </w:rPr>
        <w:t>2017) (Tabela 1).</w:t>
      </w:r>
    </w:p>
    <w:p w14:paraId="01E3D741" w14:textId="23EBE0D7" w:rsidR="00B13868" w:rsidRPr="00A22460" w:rsidRDefault="00B13868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D0E54FB" w14:textId="662DD512" w:rsidR="00255911" w:rsidRPr="00480DE1" w:rsidRDefault="00B13868" w:rsidP="00480DE1">
      <w:pPr>
        <w:spacing w:after="0"/>
        <w:ind w:left="992" w:hanging="992"/>
        <w:jc w:val="both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b/>
          <w:sz w:val="24"/>
          <w:szCs w:val="24"/>
        </w:rPr>
        <w:t>Tabela 1.</w:t>
      </w:r>
      <w:r w:rsidRPr="00A22460">
        <w:rPr>
          <w:rFonts w:ascii="Times New Roman" w:hAnsi="Times New Roman"/>
          <w:sz w:val="24"/>
          <w:szCs w:val="24"/>
        </w:rPr>
        <w:t xml:space="preserve"> Análise química e granulométrica do solo coletado para utilização na condução do ensaio, safra 2024, Rio Verde – GO</w:t>
      </w:r>
    </w:p>
    <w:tbl>
      <w:tblPr>
        <w:tblStyle w:val="Tabelacomgrade"/>
        <w:tblW w:w="8647" w:type="dxa"/>
        <w:jc w:val="center"/>
        <w:tblLook w:val="04A0" w:firstRow="1" w:lastRow="0" w:firstColumn="1" w:lastColumn="0" w:noHBand="0" w:noVBand="1"/>
      </w:tblPr>
      <w:tblGrid>
        <w:gridCol w:w="1065"/>
        <w:gridCol w:w="1063"/>
        <w:gridCol w:w="1063"/>
        <w:gridCol w:w="1062"/>
        <w:gridCol w:w="1063"/>
        <w:gridCol w:w="1063"/>
        <w:gridCol w:w="1063"/>
        <w:gridCol w:w="1205"/>
      </w:tblGrid>
      <w:tr w:rsidR="00255911" w:rsidRPr="00480DE1" w14:paraId="7F260930" w14:textId="4614B416" w:rsidTr="000A312E">
        <w:trPr>
          <w:jc w:val="center"/>
        </w:trPr>
        <w:tc>
          <w:tcPr>
            <w:tcW w:w="106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1BD2B8" w14:textId="4E7E7F35" w:rsidR="00255911" w:rsidRPr="00480DE1" w:rsidRDefault="00255911" w:rsidP="002559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b/>
                <w:bCs/>
                <w:sz w:val="24"/>
                <w:szCs w:val="24"/>
              </w:rPr>
              <w:t>Prof.</w:t>
            </w:r>
            <w:r w:rsidR="003C7730" w:rsidRPr="003C7730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6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6F9F62" w14:textId="405AAE4A" w:rsidR="00255911" w:rsidRPr="00480DE1" w:rsidRDefault="00255911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b/>
                <w:bCs/>
                <w:sz w:val="24"/>
                <w:szCs w:val="24"/>
              </w:rPr>
              <w:t>pH</w:t>
            </w:r>
          </w:p>
        </w:tc>
        <w:tc>
          <w:tcPr>
            <w:tcW w:w="106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423178" w14:textId="71DD12B7" w:rsidR="00255911" w:rsidRPr="00480DE1" w:rsidRDefault="00255911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708B47" w14:textId="311BBDD4" w:rsidR="00255911" w:rsidRPr="00480DE1" w:rsidRDefault="00255911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06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9C15F5" w14:textId="104E4EAD" w:rsidR="00255911" w:rsidRPr="00480DE1" w:rsidRDefault="00255911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b/>
                <w:bCs/>
                <w:sz w:val="24"/>
                <w:szCs w:val="24"/>
              </w:rPr>
              <w:t>Ca</w:t>
            </w:r>
          </w:p>
        </w:tc>
        <w:tc>
          <w:tcPr>
            <w:tcW w:w="106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0338E3" w14:textId="272D0277" w:rsidR="00255911" w:rsidRPr="00480DE1" w:rsidRDefault="00255911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b/>
                <w:bCs/>
                <w:sz w:val="24"/>
                <w:szCs w:val="24"/>
              </w:rPr>
              <w:t>Mg</w:t>
            </w:r>
          </w:p>
        </w:tc>
        <w:tc>
          <w:tcPr>
            <w:tcW w:w="106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AA30FC" w14:textId="04C44AE1" w:rsidR="00255911" w:rsidRPr="00480DE1" w:rsidRDefault="00255911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b/>
                <w:bCs/>
                <w:sz w:val="24"/>
                <w:szCs w:val="24"/>
              </w:rPr>
              <w:t>Al</w:t>
            </w:r>
          </w:p>
        </w:tc>
        <w:tc>
          <w:tcPr>
            <w:tcW w:w="120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93B9CF" w14:textId="2910B07B" w:rsidR="00255911" w:rsidRPr="00480DE1" w:rsidRDefault="00255911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0DE1">
              <w:rPr>
                <w:rFonts w:ascii="Times New Roman" w:hAnsi="Times New Roman"/>
                <w:b/>
                <w:bCs/>
                <w:sz w:val="24"/>
                <w:szCs w:val="24"/>
              </w:rPr>
              <w:t>H+Al</w:t>
            </w:r>
            <w:proofErr w:type="spellEnd"/>
          </w:p>
        </w:tc>
      </w:tr>
      <w:tr w:rsidR="001F0E92" w:rsidRPr="00480DE1" w14:paraId="43BCA14E" w14:textId="732E8535" w:rsidTr="000A312E">
        <w:trPr>
          <w:jc w:val="center"/>
        </w:trPr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3B67E0" w14:textId="1B76CE6B" w:rsidR="001F0E92" w:rsidRPr="00480DE1" w:rsidRDefault="001F0E92" w:rsidP="001F0E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sz w:val="24"/>
                <w:szCs w:val="24"/>
              </w:rPr>
              <w:t>cm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0CFCE1" w14:textId="37D9A561" w:rsidR="001F0E92" w:rsidRPr="00480DE1" w:rsidRDefault="001F0E92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sz w:val="24"/>
                <w:szCs w:val="24"/>
              </w:rPr>
              <w:t>CaCl</w:t>
            </w:r>
            <w:r w:rsidRPr="00480DE1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08A883" w14:textId="24F20568" w:rsidR="001F0E92" w:rsidRPr="00480DE1" w:rsidRDefault="001F0E92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sz w:val="24"/>
                <w:szCs w:val="24"/>
              </w:rPr>
              <w:t>mg dm</w:t>
            </w:r>
            <w:r w:rsidRPr="00480DE1">
              <w:rPr>
                <w:rFonts w:ascii="Times New Roman" w:hAnsi="Times New Roman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ACCC33" w14:textId="521EDAB1" w:rsidR="001F0E92" w:rsidRPr="00480DE1" w:rsidRDefault="001F0E92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sz w:val="24"/>
                <w:szCs w:val="24"/>
              </w:rPr>
              <w:t>------------------cmol</w:t>
            </w:r>
            <w:r w:rsidRPr="00480DE1">
              <w:rPr>
                <w:rFonts w:ascii="Times New Roman" w:hAnsi="Times New Roman"/>
                <w:sz w:val="24"/>
                <w:szCs w:val="24"/>
                <w:vertAlign w:val="subscript"/>
              </w:rPr>
              <w:t>c</w:t>
            </w:r>
            <w:r w:rsidRPr="00480DE1">
              <w:rPr>
                <w:rFonts w:ascii="Times New Roman" w:hAnsi="Times New Roman"/>
                <w:sz w:val="24"/>
                <w:szCs w:val="24"/>
              </w:rPr>
              <w:t>dm</w:t>
            </w:r>
            <w:r w:rsidRPr="00480DE1">
              <w:rPr>
                <w:rFonts w:ascii="Times New Roman" w:hAnsi="Times New Roman"/>
                <w:sz w:val="24"/>
                <w:szCs w:val="24"/>
                <w:vertAlign w:val="superscript"/>
              </w:rPr>
              <w:t>-3</w:t>
            </w:r>
            <w:r w:rsidRPr="00480DE1">
              <w:rPr>
                <w:rFonts w:ascii="Times New Roman" w:hAnsi="Times New Roman"/>
                <w:sz w:val="24"/>
                <w:szCs w:val="24"/>
              </w:rPr>
              <w:t>------------------</w:t>
            </w:r>
          </w:p>
        </w:tc>
      </w:tr>
      <w:tr w:rsidR="00255911" w:rsidRPr="00480DE1" w14:paraId="53F73926" w14:textId="106831FB" w:rsidTr="000A312E">
        <w:trPr>
          <w:jc w:val="center"/>
        </w:trPr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850C32" w14:textId="363502B0" w:rsidR="00255911" w:rsidRPr="00480DE1" w:rsidRDefault="00255911" w:rsidP="002559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sz w:val="24"/>
                <w:szCs w:val="24"/>
              </w:rPr>
              <w:t>0-20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31B25B" w14:textId="2AB4EE9C" w:rsidR="00255911" w:rsidRPr="00480DE1" w:rsidRDefault="00255911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sz w:val="24"/>
                <w:szCs w:val="24"/>
              </w:rPr>
              <w:t>6,32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41EE1" w14:textId="7A3293E3" w:rsidR="00255911" w:rsidRPr="00480DE1" w:rsidRDefault="00255911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718511" w14:textId="79793D53" w:rsidR="00255911" w:rsidRPr="00480DE1" w:rsidRDefault="00255911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0AA33D" w14:textId="3B32A412" w:rsidR="00255911" w:rsidRPr="00480DE1" w:rsidRDefault="00255911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sz w:val="24"/>
                <w:szCs w:val="24"/>
              </w:rPr>
              <w:t>2,81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250844" w14:textId="20CD1764" w:rsidR="00255911" w:rsidRPr="00480DE1" w:rsidRDefault="00255911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sz w:val="24"/>
                <w:szCs w:val="24"/>
              </w:rPr>
              <w:t>0,69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BAFFE1" w14:textId="77070A6D" w:rsidR="00255911" w:rsidRPr="00480DE1" w:rsidRDefault="00255911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CBFBE9" w14:textId="57B3B083" w:rsidR="00255911" w:rsidRPr="00480DE1" w:rsidRDefault="001F0E92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sz w:val="24"/>
                <w:szCs w:val="24"/>
              </w:rPr>
              <w:t>2,31</w:t>
            </w:r>
          </w:p>
        </w:tc>
      </w:tr>
      <w:tr w:rsidR="00255911" w:rsidRPr="00480DE1" w14:paraId="40BCE110" w14:textId="52374355" w:rsidTr="000A312E">
        <w:trPr>
          <w:jc w:val="center"/>
        </w:trPr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583B8C" w14:textId="300FC03D" w:rsidR="00255911" w:rsidRPr="00480DE1" w:rsidRDefault="00255911" w:rsidP="002559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b/>
                <w:bCs/>
                <w:sz w:val="24"/>
                <w:szCs w:val="24"/>
              </w:rPr>
              <w:t>Prof.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F15469" w14:textId="11798886" w:rsidR="00255911" w:rsidRPr="00480DE1" w:rsidRDefault="00255911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b/>
                <w:bCs/>
                <w:sz w:val="24"/>
                <w:szCs w:val="24"/>
              </w:rPr>
              <w:t>M.O.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3FFEDC" w14:textId="7E773FF6" w:rsidR="00255911" w:rsidRPr="00480DE1" w:rsidRDefault="00255911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b/>
                <w:bCs/>
                <w:sz w:val="24"/>
                <w:szCs w:val="24"/>
              </w:rPr>
              <w:t>SB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211908" w14:textId="3FDDC4EA" w:rsidR="00255911" w:rsidRPr="00480DE1" w:rsidRDefault="00255911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b/>
                <w:bCs/>
                <w:sz w:val="24"/>
                <w:szCs w:val="24"/>
              </w:rPr>
              <w:t>CTC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CA4350" w14:textId="39D82B49" w:rsidR="00255911" w:rsidRPr="00480DE1" w:rsidRDefault="00255911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853432" w14:textId="35016709" w:rsidR="00255911" w:rsidRPr="00480DE1" w:rsidRDefault="00255911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303DB9" w14:textId="47279EDF" w:rsidR="00255911" w:rsidRPr="00480DE1" w:rsidRDefault="00255911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b/>
                <w:bCs/>
                <w:sz w:val="24"/>
                <w:szCs w:val="24"/>
              </w:rPr>
              <w:t>Cu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9C77B2" w14:textId="5606BBA2" w:rsidR="00255911" w:rsidRPr="00480DE1" w:rsidRDefault="00255911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b/>
                <w:bCs/>
                <w:sz w:val="24"/>
                <w:szCs w:val="24"/>
              </w:rPr>
              <w:t>Fe</w:t>
            </w:r>
          </w:p>
        </w:tc>
      </w:tr>
      <w:tr w:rsidR="001F0E92" w:rsidRPr="00480DE1" w14:paraId="3E22E84D" w14:textId="16FCD8BC" w:rsidTr="000A312E">
        <w:trPr>
          <w:jc w:val="center"/>
        </w:trPr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12EA25" w14:textId="27F839FC" w:rsidR="001F0E92" w:rsidRPr="00480DE1" w:rsidRDefault="001F0E92" w:rsidP="002559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sz w:val="24"/>
                <w:szCs w:val="24"/>
              </w:rPr>
              <w:t>cm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AD6448" w14:textId="6CA6B2D9" w:rsidR="001F0E92" w:rsidRPr="00480DE1" w:rsidRDefault="001F0E92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sz w:val="24"/>
                <w:szCs w:val="24"/>
              </w:rPr>
              <w:t>g dm</w:t>
            </w:r>
            <w:r w:rsidRPr="00480DE1">
              <w:rPr>
                <w:rFonts w:ascii="Times New Roman" w:hAnsi="Times New Roman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F240C7" w14:textId="454D8165" w:rsidR="001F0E92" w:rsidRPr="00480DE1" w:rsidRDefault="001F0E92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sz w:val="24"/>
                <w:szCs w:val="24"/>
              </w:rPr>
              <w:t>cmol</w:t>
            </w:r>
            <w:r w:rsidRPr="00480DE1">
              <w:rPr>
                <w:rFonts w:ascii="Times New Roman" w:hAnsi="Times New Roman"/>
                <w:sz w:val="24"/>
                <w:szCs w:val="24"/>
                <w:vertAlign w:val="subscript"/>
              </w:rPr>
              <w:t>c</w:t>
            </w:r>
            <w:r w:rsidRPr="00480DE1">
              <w:rPr>
                <w:rFonts w:ascii="Times New Roman" w:hAnsi="Times New Roman"/>
                <w:sz w:val="24"/>
                <w:szCs w:val="24"/>
              </w:rPr>
              <w:t>dm</w:t>
            </w:r>
            <w:r w:rsidRPr="00480DE1">
              <w:rPr>
                <w:rFonts w:ascii="Times New Roman" w:hAnsi="Times New Roman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54D198" w14:textId="6A22443E" w:rsidR="001F0E92" w:rsidRPr="00480DE1" w:rsidRDefault="001F0E92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sz w:val="24"/>
                <w:szCs w:val="24"/>
              </w:rPr>
              <w:t>----------%----------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D2A90B" w14:textId="763479D1" w:rsidR="001F0E92" w:rsidRPr="00480DE1" w:rsidRDefault="001F0E92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sz w:val="24"/>
                <w:szCs w:val="24"/>
              </w:rPr>
              <w:t>-----mg dm</w:t>
            </w:r>
            <w:r w:rsidRPr="00480DE1">
              <w:rPr>
                <w:rFonts w:ascii="Times New Roman" w:hAnsi="Times New Roman"/>
                <w:sz w:val="24"/>
                <w:szCs w:val="24"/>
                <w:vertAlign w:val="superscript"/>
              </w:rPr>
              <w:t>-3</w:t>
            </w:r>
            <w:r w:rsidRPr="00480DE1"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</w:tr>
      <w:tr w:rsidR="001F0E92" w:rsidRPr="00480DE1" w14:paraId="5B7C0A64" w14:textId="6A2F37B2" w:rsidTr="000A312E">
        <w:trPr>
          <w:jc w:val="center"/>
        </w:trPr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36B0C1" w14:textId="674EB2AF" w:rsidR="001F0E92" w:rsidRPr="00480DE1" w:rsidRDefault="001F0E92" w:rsidP="001F0E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sz w:val="24"/>
                <w:szCs w:val="24"/>
              </w:rPr>
              <w:t>0-20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27D3B3" w14:textId="61CD2CF5" w:rsidR="001F0E92" w:rsidRPr="00480DE1" w:rsidRDefault="001F0E92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sz w:val="24"/>
                <w:szCs w:val="24"/>
              </w:rPr>
              <w:t>24,15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F14FF8" w14:textId="17428CEC" w:rsidR="001F0E92" w:rsidRPr="00480DE1" w:rsidRDefault="001F0E92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sz w:val="24"/>
                <w:szCs w:val="24"/>
              </w:rPr>
              <w:t>3,84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95C40C" w14:textId="6F24EC02" w:rsidR="001F0E92" w:rsidRPr="00480DE1" w:rsidRDefault="001F0E92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sz w:val="24"/>
                <w:szCs w:val="24"/>
              </w:rPr>
              <w:t>6,15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8EC9DC" w14:textId="767F045B" w:rsidR="001F0E92" w:rsidRPr="00480DE1" w:rsidRDefault="001F0E92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sz w:val="24"/>
                <w:szCs w:val="24"/>
              </w:rPr>
              <w:t>62,42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E30465" w14:textId="01D70C2D" w:rsidR="001F0E92" w:rsidRPr="00480DE1" w:rsidRDefault="001F0E92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C59C0" w14:textId="62A06704" w:rsidR="001F0E92" w:rsidRPr="00480DE1" w:rsidRDefault="001F0E92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5F052" w14:textId="3E9CE57C" w:rsidR="001F0E92" w:rsidRPr="00480DE1" w:rsidRDefault="001F0E92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</w:tr>
      <w:tr w:rsidR="00255911" w:rsidRPr="00480DE1" w14:paraId="3C988AA8" w14:textId="77777777" w:rsidTr="000A312E">
        <w:trPr>
          <w:jc w:val="center"/>
        </w:trPr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57197E" w14:textId="05549AA7" w:rsidR="00255911" w:rsidRPr="00480DE1" w:rsidRDefault="00255911" w:rsidP="002559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b/>
                <w:bCs/>
                <w:sz w:val="24"/>
                <w:szCs w:val="24"/>
              </w:rPr>
              <w:t>Prof.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79DAE0" w14:textId="0C98DD6A" w:rsidR="00255911" w:rsidRPr="00480DE1" w:rsidRDefault="00255911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b/>
                <w:bCs/>
                <w:sz w:val="24"/>
                <w:szCs w:val="24"/>
              </w:rPr>
              <w:t>Mn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CEB6FD" w14:textId="5F72DCE2" w:rsidR="00255911" w:rsidRPr="00480DE1" w:rsidRDefault="00255911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b/>
                <w:bCs/>
                <w:sz w:val="24"/>
                <w:szCs w:val="24"/>
              </w:rPr>
              <w:t>Zn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4EEC3D" w14:textId="64234914" w:rsidR="00255911" w:rsidRPr="00480DE1" w:rsidRDefault="00255911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b/>
                <w:bCs/>
                <w:sz w:val="24"/>
                <w:szCs w:val="24"/>
              </w:rPr>
              <w:t>Areia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C9C251" w14:textId="38B77422" w:rsidR="00255911" w:rsidRPr="00480DE1" w:rsidRDefault="00255911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b/>
                <w:bCs/>
                <w:sz w:val="24"/>
                <w:szCs w:val="24"/>
              </w:rPr>
              <w:t>Silte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307551" w14:textId="70EF1D75" w:rsidR="00255911" w:rsidRPr="00480DE1" w:rsidRDefault="00255911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b/>
                <w:bCs/>
                <w:sz w:val="24"/>
                <w:szCs w:val="24"/>
              </w:rPr>
              <w:t>Argila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84A41C" w14:textId="4AF9D788" w:rsidR="00255911" w:rsidRPr="00480DE1" w:rsidRDefault="00255911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Classe </w:t>
            </w:r>
            <w:proofErr w:type="spellStart"/>
            <w:r w:rsidRPr="00480DE1">
              <w:rPr>
                <w:rFonts w:ascii="Times New Roman" w:hAnsi="Times New Roman"/>
                <w:b/>
                <w:bCs/>
                <w:sz w:val="24"/>
                <w:szCs w:val="24"/>
              </w:rPr>
              <w:t>textural</w:t>
            </w:r>
            <w:proofErr w:type="spellEnd"/>
          </w:p>
        </w:tc>
      </w:tr>
      <w:tr w:rsidR="001F0E92" w:rsidRPr="00480DE1" w14:paraId="26301647" w14:textId="77777777" w:rsidTr="000A312E">
        <w:trPr>
          <w:jc w:val="center"/>
        </w:trPr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44D22F" w14:textId="78D532D7" w:rsidR="001F0E92" w:rsidRPr="00480DE1" w:rsidRDefault="001F0E92" w:rsidP="002559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sz w:val="24"/>
                <w:szCs w:val="24"/>
              </w:rPr>
              <w:t>cm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B0EB8F" w14:textId="0849101E" w:rsidR="001F0E92" w:rsidRPr="00480DE1" w:rsidRDefault="001F0E92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sz w:val="24"/>
                <w:szCs w:val="24"/>
              </w:rPr>
              <w:t>-----mg dm</w:t>
            </w:r>
            <w:r w:rsidRPr="00480DE1">
              <w:rPr>
                <w:rFonts w:ascii="Times New Roman" w:hAnsi="Times New Roman"/>
                <w:sz w:val="24"/>
                <w:szCs w:val="24"/>
                <w:vertAlign w:val="superscript"/>
              </w:rPr>
              <w:t>-3</w:t>
            </w:r>
            <w:r w:rsidRPr="00480DE1"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1FEDDD" w14:textId="45D92099" w:rsidR="001F0E92" w:rsidRPr="00480DE1" w:rsidRDefault="001F0E92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sz w:val="24"/>
                <w:szCs w:val="24"/>
              </w:rPr>
              <w:t>----------------%----------------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F23D8C" w14:textId="77777777" w:rsidR="001F0E92" w:rsidRPr="00480DE1" w:rsidRDefault="001F0E92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92" w:rsidRPr="00480DE1" w14:paraId="6EF1E457" w14:textId="77777777" w:rsidTr="000A312E">
        <w:trPr>
          <w:jc w:val="center"/>
        </w:trPr>
        <w:tc>
          <w:tcPr>
            <w:tcW w:w="1065" w:type="dxa"/>
            <w:tcBorders>
              <w:top w:val="nil"/>
              <w:left w:val="nil"/>
              <w:right w:val="nil"/>
            </w:tcBorders>
            <w:vAlign w:val="center"/>
          </w:tcPr>
          <w:p w14:paraId="6707CF17" w14:textId="19BDAE52" w:rsidR="001F0E92" w:rsidRPr="00480DE1" w:rsidRDefault="001F0E92" w:rsidP="001F0E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sz w:val="24"/>
                <w:szCs w:val="24"/>
              </w:rPr>
              <w:t>0-20</w:t>
            </w:r>
          </w:p>
        </w:tc>
        <w:tc>
          <w:tcPr>
            <w:tcW w:w="1063" w:type="dxa"/>
            <w:tcBorders>
              <w:top w:val="nil"/>
              <w:left w:val="nil"/>
              <w:right w:val="nil"/>
            </w:tcBorders>
          </w:tcPr>
          <w:p w14:paraId="31A09048" w14:textId="281F9CB4" w:rsidR="001F0E92" w:rsidRPr="00480DE1" w:rsidRDefault="001F0E92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1063" w:type="dxa"/>
            <w:tcBorders>
              <w:top w:val="nil"/>
              <w:left w:val="nil"/>
              <w:right w:val="nil"/>
            </w:tcBorders>
          </w:tcPr>
          <w:p w14:paraId="77CBD559" w14:textId="5FCB5E1C" w:rsidR="001F0E92" w:rsidRPr="00480DE1" w:rsidRDefault="001F0E92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062" w:type="dxa"/>
            <w:tcBorders>
              <w:top w:val="nil"/>
              <w:left w:val="nil"/>
              <w:right w:val="nil"/>
            </w:tcBorders>
          </w:tcPr>
          <w:p w14:paraId="61C4A433" w14:textId="7F88C85F" w:rsidR="001F0E92" w:rsidRPr="00480DE1" w:rsidRDefault="001F0E92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sz w:val="24"/>
                <w:szCs w:val="24"/>
              </w:rPr>
              <w:t>32,09</w:t>
            </w:r>
          </w:p>
        </w:tc>
        <w:tc>
          <w:tcPr>
            <w:tcW w:w="1063" w:type="dxa"/>
            <w:tcBorders>
              <w:top w:val="nil"/>
              <w:left w:val="nil"/>
              <w:right w:val="nil"/>
            </w:tcBorders>
          </w:tcPr>
          <w:p w14:paraId="4FDC35E2" w14:textId="3D7BEF0E" w:rsidR="001F0E92" w:rsidRPr="00480DE1" w:rsidRDefault="001F0E92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sz w:val="24"/>
                <w:szCs w:val="24"/>
              </w:rPr>
              <w:t>21,94</w:t>
            </w:r>
          </w:p>
        </w:tc>
        <w:tc>
          <w:tcPr>
            <w:tcW w:w="1063" w:type="dxa"/>
            <w:tcBorders>
              <w:top w:val="nil"/>
              <w:left w:val="nil"/>
              <w:right w:val="nil"/>
            </w:tcBorders>
          </w:tcPr>
          <w:p w14:paraId="4E0BF485" w14:textId="568EC061" w:rsidR="001F0E92" w:rsidRPr="00480DE1" w:rsidRDefault="001F0E92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sz w:val="24"/>
                <w:szCs w:val="24"/>
              </w:rPr>
              <w:t>45,97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</w:tcPr>
          <w:p w14:paraId="7A99878B" w14:textId="4D09FD1B" w:rsidR="001F0E92" w:rsidRPr="00480DE1" w:rsidRDefault="001F0E92" w:rsidP="001F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E1">
              <w:rPr>
                <w:rFonts w:ascii="Times New Roman" w:hAnsi="Times New Roman"/>
                <w:sz w:val="24"/>
                <w:szCs w:val="24"/>
              </w:rPr>
              <w:t>Argiloso</w:t>
            </w:r>
          </w:p>
        </w:tc>
      </w:tr>
    </w:tbl>
    <w:p w14:paraId="031A2242" w14:textId="508D0ED2" w:rsidR="00B13868" w:rsidRPr="00A22460" w:rsidRDefault="003C7730" w:rsidP="00AA5D6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C7730">
        <w:rPr>
          <w:rFonts w:ascii="Times New Roman" w:hAnsi="Times New Roman"/>
          <w:sz w:val="20"/>
          <w:szCs w:val="20"/>
          <w:vertAlign w:val="superscript"/>
        </w:rPr>
        <w:t>1</w:t>
      </w:r>
      <w:r w:rsidR="00B13868" w:rsidRPr="00A22460">
        <w:rPr>
          <w:rFonts w:ascii="Times New Roman" w:hAnsi="Times New Roman"/>
          <w:sz w:val="20"/>
          <w:szCs w:val="20"/>
        </w:rPr>
        <w:t xml:space="preserve">pH da solução do solo, determinado em solução de cloreto de cálcio; MO: matéria orgânica, determinação por método colorimétrico; P: fósforo, </w:t>
      </w:r>
      <w:proofErr w:type="spellStart"/>
      <w:r w:rsidR="00B13868" w:rsidRPr="00A22460">
        <w:rPr>
          <w:rFonts w:ascii="Times New Roman" w:hAnsi="Times New Roman"/>
          <w:sz w:val="20"/>
          <w:szCs w:val="20"/>
        </w:rPr>
        <w:t>melhich</w:t>
      </w:r>
      <w:proofErr w:type="spellEnd"/>
      <w:r w:rsidR="00B13868" w:rsidRPr="00A22460">
        <w:rPr>
          <w:rFonts w:ascii="Times New Roman" w:hAnsi="Times New Roman"/>
          <w:sz w:val="20"/>
          <w:szCs w:val="20"/>
        </w:rPr>
        <w:t>; K</w:t>
      </w:r>
      <w:r w:rsidR="00B13868" w:rsidRPr="00A22460">
        <w:rPr>
          <w:rFonts w:ascii="Times New Roman" w:hAnsi="Times New Roman"/>
          <w:sz w:val="20"/>
          <w:szCs w:val="20"/>
          <w:vertAlign w:val="superscript"/>
        </w:rPr>
        <w:t>+</w:t>
      </w:r>
      <w:r w:rsidR="00B13868" w:rsidRPr="00A22460">
        <w:rPr>
          <w:rFonts w:ascii="Times New Roman" w:hAnsi="Times New Roman"/>
          <w:sz w:val="20"/>
          <w:szCs w:val="20"/>
        </w:rPr>
        <w:t xml:space="preserve">: potássio, </w:t>
      </w:r>
      <w:proofErr w:type="spellStart"/>
      <w:r w:rsidR="00B13868" w:rsidRPr="00A22460">
        <w:rPr>
          <w:rFonts w:ascii="Times New Roman" w:hAnsi="Times New Roman"/>
          <w:sz w:val="20"/>
          <w:szCs w:val="20"/>
        </w:rPr>
        <w:t>melhich</w:t>
      </w:r>
      <w:proofErr w:type="spellEnd"/>
      <w:r w:rsidR="00B13868" w:rsidRPr="00A22460">
        <w:rPr>
          <w:rFonts w:ascii="Times New Roman" w:hAnsi="Times New Roman"/>
          <w:sz w:val="20"/>
          <w:szCs w:val="20"/>
        </w:rPr>
        <w:t>; Ca</w:t>
      </w:r>
      <w:r w:rsidR="00B13868" w:rsidRPr="00A22460">
        <w:rPr>
          <w:rFonts w:ascii="Times New Roman" w:hAnsi="Times New Roman"/>
          <w:sz w:val="20"/>
          <w:szCs w:val="20"/>
          <w:vertAlign w:val="superscript"/>
        </w:rPr>
        <w:t>2+</w:t>
      </w:r>
      <w:r w:rsidR="00B13868" w:rsidRPr="00A22460">
        <w:rPr>
          <w:rFonts w:ascii="Times New Roman" w:hAnsi="Times New Roman"/>
          <w:sz w:val="20"/>
          <w:szCs w:val="20"/>
        </w:rPr>
        <w:t xml:space="preserve"> e Mg</w:t>
      </w:r>
      <w:r w:rsidR="00B13868" w:rsidRPr="00A22460">
        <w:rPr>
          <w:rFonts w:ascii="Times New Roman" w:hAnsi="Times New Roman"/>
          <w:sz w:val="20"/>
          <w:szCs w:val="20"/>
          <w:vertAlign w:val="superscript"/>
        </w:rPr>
        <w:t>2+</w:t>
      </w:r>
      <w:r w:rsidR="00B13868" w:rsidRPr="00A22460">
        <w:rPr>
          <w:rFonts w:ascii="Times New Roman" w:hAnsi="Times New Roman"/>
          <w:sz w:val="20"/>
          <w:szCs w:val="20"/>
        </w:rPr>
        <w:t xml:space="preserve">: teores trocáveis de cálcio e magnésio, respectivamente, em </w:t>
      </w:r>
      <w:proofErr w:type="spellStart"/>
      <w:r w:rsidR="00B13868" w:rsidRPr="00A22460">
        <w:rPr>
          <w:rFonts w:ascii="Times New Roman" w:hAnsi="Times New Roman"/>
          <w:sz w:val="20"/>
          <w:szCs w:val="20"/>
        </w:rPr>
        <w:t>KCl</w:t>
      </w:r>
      <w:proofErr w:type="spellEnd"/>
      <w:r w:rsidR="00B13868" w:rsidRPr="00A22460">
        <w:rPr>
          <w:rFonts w:ascii="Times New Roman" w:hAnsi="Times New Roman"/>
          <w:sz w:val="20"/>
          <w:szCs w:val="20"/>
        </w:rPr>
        <w:t>; S-SO</w:t>
      </w:r>
      <w:r w:rsidR="00B13868" w:rsidRPr="00A22460">
        <w:rPr>
          <w:rFonts w:ascii="Times New Roman" w:hAnsi="Times New Roman"/>
          <w:sz w:val="20"/>
          <w:szCs w:val="20"/>
          <w:vertAlign w:val="subscript"/>
        </w:rPr>
        <w:t>4</w:t>
      </w:r>
      <w:r w:rsidR="00B13868" w:rsidRPr="00A22460">
        <w:rPr>
          <w:rFonts w:ascii="Times New Roman" w:hAnsi="Times New Roman"/>
          <w:sz w:val="20"/>
          <w:szCs w:val="20"/>
          <w:vertAlign w:val="superscript"/>
        </w:rPr>
        <w:t>2-</w:t>
      </w:r>
      <w:r w:rsidR="00B13868" w:rsidRPr="00A22460">
        <w:rPr>
          <w:rFonts w:ascii="Times New Roman" w:hAnsi="Times New Roman"/>
          <w:sz w:val="20"/>
          <w:szCs w:val="20"/>
        </w:rPr>
        <w:t>: Enxofre na forma de sulfatos, extraído por fosfato de cálcio e determinado por colorimetria</w:t>
      </w:r>
      <w:r w:rsidR="0010100A" w:rsidRPr="00A22460">
        <w:rPr>
          <w:rFonts w:ascii="Times New Roman" w:hAnsi="Times New Roman"/>
          <w:sz w:val="20"/>
          <w:szCs w:val="20"/>
        </w:rPr>
        <w:t xml:space="preserve">; </w:t>
      </w:r>
      <w:r w:rsidR="00B13868" w:rsidRPr="00A22460">
        <w:rPr>
          <w:rFonts w:ascii="Times New Roman" w:hAnsi="Times New Roman"/>
          <w:sz w:val="20"/>
          <w:szCs w:val="20"/>
        </w:rPr>
        <w:t>Al</w:t>
      </w:r>
      <w:r w:rsidR="00B13868" w:rsidRPr="00A22460">
        <w:rPr>
          <w:rFonts w:ascii="Times New Roman" w:hAnsi="Times New Roman"/>
          <w:sz w:val="20"/>
          <w:szCs w:val="20"/>
          <w:vertAlign w:val="superscript"/>
        </w:rPr>
        <w:t>3+</w:t>
      </w:r>
      <w:r w:rsidR="00B13868" w:rsidRPr="00A22460">
        <w:rPr>
          <w:rFonts w:ascii="Times New Roman" w:hAnsi="Times New Roman"/>
          <w:sz w:val="20"/>
          <w:szCs w:val="20"/>
        </w:rPr>
        <w:t>: Alumínio trocável, extraído por solução de cloreto de potássio a 1 mol L</w:t>
      </w:r>
      <w:r w:rsidR="00B13868" w:rsidRPr="00A22460">
        <w:rPr>
          <w:rFonts w:ascii="Times New Roman" w:hAnsi="Times New Roman"/>
          <w:sz w:val="20"/>
          <w:szCs w:val="20"/>
          <w:vertAlign w:val="superscript"/>
        </w:rPr>
        <w:t>-1</w:t>
      </w:r>
      <w:r w:rsidR="0010100A" w:rsidRPr="00A22460">
        <w:rPr>
          <w:rFonts w:ascii="Times New Roman" w:hAnsi="Times New Roman"/>
          <w:sz w:val="20"/>
          <w:szCs w:val="20"/>
        </w:rPr>
        <w:t xml:space="preserve">; </w:t>
      </w:r>
      <w:proofErr w:type="spellStart"/>
      <w:r w:rsidR="00B13868" w:rsidRPr="00A22460">
        <w:rPr>
          <w:rFonts w:ascii="Times New Roman" w:hAnsi="Times New Roman"/>
          <w:sz w:val="20"/>
          <w:szCs w:val="20"/>
        </w:rPr>
        <w:t>H+Al</w:t>
      </w:r>
      <w:proofErr w:type="spellEnd"/>
      <w:r w:rsidR="00B13868" w:rsidRPr="00A22460">
        <w:rPr>
          <w:rFonts w:ascii="Times New Roman" w:hAnsi="Times New Roman"/>
          <w:sz w:val="20"/>
          <w:szCs w:val="20"/>
        </w:rPr>
        <w:t>: acidez total do solo, determinada em solução tampão SMP a pH 7,5</w:t>
      </w:r>
      <w:r w:rsidR="0010100A" w:rsidRPr="00A22460">
        <w:rPr>
          <w:rFonts w:ascii="Times New Roman" w:hAnsi="Times New Roman"/>
          <w:sz w:val="20"/>
          <w:szCs w:val="20"/>
        </w:rPr>
        <w:t xml:space="preserve">; </w:t>
      </w:r>
      <w:r w:rsidR="00B13868" w:rsidRPr="00A22460">
        <w:rPr>
          <w:rFonts w:ascii="Times New Roman" w:hAnsi="Times New Roman"/>
          <w:sz w:val="20"/>
          <w:szCs w:val="20"/>
        </w:rPr>
        <w:t>SB: soma de bases (K</w:t>
      </w:r>
      <w:r w:rsidR="00B13868" w:rsidRPr="00A22460">
        <w:rPr>
          <w:rFonts w:ascii="Times New Roman" w:hAnsi="Times New Roman"/>
          <w:sz w:val="20"/>
          <w:szCs w:val="20"/>
          <w:vertAlign w:val="superscript"/>
        </w:rPr>
        <w:t xml:space="preserve">+ </w:t>
      </w:r>
      <w:r w:rsidR="00B13868" w:rsidRPr="00A22460">
        <w:rPr>
          <w:rFonts w:ascii="Times New Roman" w:hAnsi="Times New Roman"/>
          <w:sz w:val="20"/>
          <w:szCs w:val="20"/>
        </w:rPr>
        <w:t>+ Ca</w:t>
      </w:r>
      <w:r w:rsidR="00B13868" w:rsidRPr="00A22460">
        <w:rPr>
          <w:rFonts w:ascii="Times New Roman" w:hAnsi="Times New Roman"/>
          <w:sz w:val="20"/>
          <w:szCs w:val="20"/>
          <w:vertAlign w:val="superscript"/>
        </w:rPr>
        <w:t>2+</w:t>
      </w:r>
      <w:r w:rsidR="00B13868" w:rsidRPr="00A22460">
        <w:rPr>
          <w:rFonts w:ascii="Times New Roman" w:hAnsi="Times New Roman"/>
          <w:sz w:val="20"/>
          <w:szCs w:val="20"/>
        </w:rPr>
        <w:t xml:space="preserve"> + Mg</w:t>
      </w:r>
      <w:r w:rsidR="00B13868" w:rsidRPr="00A22460">
        <w:rPr>
          <w:rFonts w:ascii="Times New Roman" w:hAnsi="Times New Roman"/>
          <w:sz w:val="20"/>
          <w:szCs w:val="20"/>
          <w:vertAlign w:val="superscript"/>
        </w:rPr>
        <w:t>2</w:t>
      </w:r>
      <w:r w:rsidR="0010100A" w:rsidRPr="00A22460">
        <w:rPr>
          <w:rFonts w:ascii="Times New Roman" w:hAnsi="Times New Roman"/>
          <w:sz w:val="20"/>
          <w:szCs w:val="20"/>
          <w:vertAlign w:val="superscript"/>
        </w:rPr>
        <w:t>+</w:t>
      </w:r>
      <w:r w:rsidR="0010100A" w:rsidRPr="00A22460">
        <w:rPr>
          <w:rFonts w:ascii="Times New Roman" w:hAnsi="Times New Roman"/>
          <w:sz w:val="20"/>
          <w:szCs w:val="20"/>
        </w:rPr>
        <w:t xml:space="preserve">); </w:t>
      </w:r>
      <w:r w:rsidR="00B13868" w:rsidRPr="00A22460">
        <w:rPr>
          <w:rFonts w:ascii="Times New Roman" w:hAnsi="Times New Roman"/>
          <w:sz w:val="20"/>
          <w:szCs w:val="20"/>
        </w:rPr>
        <w:t>CTC: capacidade de troca de cátions (K</w:t>
      </w:r>
      <w:r w:rsidR="00B13868" w:rsidRPr="00A22460">
        <w:rPr>
          <w:rFonts w:ascii="Times New Roman" w:hAnsi="Times New Roman"/>
          <w:sz w:val="20"/>
          <w:szCs w:val="20"/>
          <w:vertAlign w:val="superscript"/>
        </w:rPr>
        <w:t>+</w:t>
      </w:r>
      <w:r w:rsidR="00B13868" w:rsidRPr="00A22460">
        <w:rPr>
          <w:rFonts w:ascii="Times New Roman" w:hAnsi="Times New Roman"/>
          <w:sz w:val="20"/>
          <w:szCs w:val="20"/>
        </w:rPr>
        <w:t xml:space="preserve"> + Ca</w:t>
      </w:r>
      <w:r w:rsidR="00B13868" w:rsidRPr="00A22460">
        <w:rPr>
          <w:rFonts w:ascii="Times New Roman" w:hAnsi="Times New Roman"/>
          <w:sz w:val="20"/>
          <w:szCs w:val="20"/>
          <w:vertAlign w:val="superscript"/>
        </w:rPr>
        <w:t>2+</w:t>
      </w:r>
      <w:r w:rsidR="00B13868" w:rsidRPr="00A22460">
        <w:rPr>
          <w:rFonts w:ascii="Times New Roman" w:hAnsi="Times New Roman"/>
          <w:sz w:val="20"/>
          <w:szCs w:val="20"/>
        </w:rPr>
        <w:t xml:space="preserve"> + Mg</w:t>
      </w:r>
      <w:r w:rsidR="00B13868" w:rsidRPr="00A22460">
        <w:rPr>
          <w:rFonts w:ascii="Times New Roman" w:hAnsi="Times New Roman"/>
          <w:sz w:val="20"/>
          <w:szCs w:val="20"/>
          <w:vertAlign w:val="superscript"/>
        </w:rPr>
        <w:t>2+</w:t>
      </w:r>
      <w:r w:rsidR="00B13868" w:rsidRPr="00A22460">
        <w:rPr>
          <w:rFonts w:ascii="Times New Roman" w:hAnsi="Times New Roman"/>
          <w:sz w:val="20"/>
          <w:szCs w:val="20"/>
        </w:rPr>
        <w:t xml:space="preserve"> + </w:t>
      </w:r>
      <w:proofErr w:type="spellStart"/>
      <w:r w:rsidR="00B13868" w:rsidRPr="00A22460">
        <w:rPr>
          <w:rFonts w:ascii="Times New Roman" w:hAnsi="Times New Roman"/>
          <w:sz w:val="20"/>
          <w:szCs w:val="20"/>
        </w:rPr>
        <w:t>H+Al</w:t>
      </w:r>
      <w:proofErr w:type="spellEnd"/>
      <w:r w:rsidR="0010100A" w:rsidRPr="00A22460">
        <w:rPr>
          <w:rFonts w:ascii="Times New Roman" w:hAnsi="Times New Roman"/>
          <w:sz w:val="20"/>
          <w:szCs w:val="20"/>
        </w:rPr>
        <w:t xml:space="preserve">); </w:t>
      </w:r>
      <w:r w:rsidR="00B13868" w:rsidRPr="00A22460">
        <w:rPr>
          <w:rFonts w:ascii="Times New Roman" w:hAnsi="Times New Roman"/>
          <w:sz w:val="20"/>
          <w:szCs w:val="20"/>
        </w:rPr>
        <w:t>V: saturação por bases do solo (relação SB/CTC</w:t>
      </w:r>
      <w:r w:rsidR="0010100A" w:rsidRPr="00A22460">
        <w:rPr>
          <w:rFonts w:ascii="Times New Roman" w:hAnsi="Times New Roman"/>
          <w:sz w:val="20"/>
          <w:szCs w:val="20"/>
        </w:rPr>
        <w:t xml:space="preserve">); </w:t>
      </w:r>
      <w:r w:rsidR="00B13868" w:rsidRPr="00A22460">
        <w:rPr>
          <w:rFonts w:ascii="Times New Roman" w:hAnsi="Times New Roman"/>
          <w:sz w:val="20"/>
          <w:szCs w:val="20"/>
        </w:rPr>
        <w:t>m: saturação por alumínio [relação Al</w:t>
      </w:r>
      <w:r w:rsidR="00B13868" w:rsidRPr="00A22460">
        <w:rPr>
          <w:rFonts w:ascii="Times New Roman" w:hAnsi="Times New Roman"/>
          <w:sz w:val="20"/>
          <w:szCs w:val="20"/>
          <w:vertAlign w:val="superscript"/>
        </w:rPr>
        <w:t>3+</w:t>
      </w:r>
      <w:r w:rsidR="00B13868" w:rsidRPr="00A22460">
        <w:rPr>
          <w:rFonts w:ascii="Times New Roman" w:hAnsi="Times New Roman"/>
          <w:sz w:val="20"/>
          <w:szCs w:val="20"/>
        </w:rPr>
        <w:t>/(SB+Al</w:t>
      </w:r>
      <w:r w:rsidR="00B13868" w:rsidRPr="00A22460">
        <w:rPr>
          <w:rFonts w:ascii="Times New Roman" w:hAnsi="Times New Roman"/>
          <w:sz w:val="20"/>
          <w:szCs w:val="20"/>
          <w:vertAlign w:val="superscript"/>
        </w:rPr>
        <w:t>3</w:t>
      </w:r>
      <w:r w:rsidR="0010100A" w:rsidRPr="00A22460">
        <w:rPr>
          <w:rFonts w:ascii="Times New Roman" w:hAnsi="Times New Roman"/>
          <w:sz w:val="20"/>
          <w:szCs w:val="20"/>
          <w:vertAlign w:val="superscript"/>
        </w:rPr>
        <w:t>+</w:t>
      </w:r>
      <w:r w:rsidR="0010100A" w:rsidRPr="00A22460">
        <w:rPr>
          <w:rFonts w:ascii="Times New Roman" w:hAnsi="Times New Roman"/>
          <w:sz w:val="20"/>
          <w:szCs w:val="20"/>
        </w:rPr>
        <w:t xml:space="preserve">)]; </w:t>
      </w:r>
      <w:r w:rsidR="00B13868" w:rsidRPr="00A22460">
        <w:rPr>
          <w:rFonts w:ascii="Times New Roman" w:hAnsi="Times New Roman"/>
          <w:sz w:val="20"/>
          <w:szCs w:val="20"/>
        </w:rPr>
        <w:t xml:space="preserve">Cu, Fe, Mn e Zn: cobre, ferro, manganês e zinco, extraídos por solução </w:t>
      </w:r>
      <w:proofErr w:type="spellStart"/>
      <w:r w:rsidR="00B13868" w:rsidRPr="00A22460">
        <w:rPr>
          <w:rFonts w:ascii="Times New Roman" w:hAnsi="Times New Roman"/>
          <w:sz w:val="20"/>
          <w:szCs w:val="20"/>
        </w:rPr>
        <w:t>melhich</w:t>
      </w:r>
      <w:proofErr w:type="spellEnd"/>
      <w:r w:rsidR="00B13868" w:rsidRPr="00A22460">
        <w:rPr>
          <w:rFonts w:ascii="Times New Roman" w:hAnsi="Times New Roman"/>
          <w:sz w:val="20"/>
          <w:szCs w:val="20"/>
        </w:rPr>
        <w:t>.</w:t>
      </w:r>
    </w:p>
    <w:p w14:paraId="6C129088" w14:textId="2332926B" w:rsidR="00B21CB7" w:rsidRPr="00A22460" w:rsidRDefault="00B21CB7" w:rsidP="00AA5D6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22460">
        <w:rPr>
          <w:rFonts w:ascii="Times New Roman" w:hAnsi="Times New Roman"/>
          <w:b/>
          <w:bCs/>
          <w:sz w:val="20"/>
          <w:szCs w:val="20"/>
        </w:rPr>
        <w:t>Fonte:</w:t>
      </w:r>
      <w:r w:rsidRPr="00A22460">
        <w:rPr>
          <w:rFonts w:ascii="Times New Roman" w:hAnsi="Times New Roman"/>
          <w:sz w:val="20"/>
          <w:szCs w:val="20"/>
        </w:rPr>
        <w:t xml:space="preserve"> Autores (202</w:t>
      </w:r>
      <w:r w:rsidR="00D448B6" w:rsidRPr="00A22460">
        <w:rPr>
          <w:rFonts w:ascii="Times New Roman" w:hAnsi="Times New Roman"/>
          <w:sz w:val="20"/>
          <w:szCs w:val="20"/>
        </w:rPr>
        <w:t>5</w:t>
      </w:r>
      <w:r w:rsidRPr="00A22460">
        <w:rPr>
          <w:rFonts w:ascii="Times New Roman" w:hAnsi="Times New Roman"/>
          <w:sz w:val="20"/>
          <w:szCs w:val="20"/>
        </w:rPr>
        <w:t>)</w:t>
      </w:r>
    </w:p>
    <w:p w14:paraId="1CA0F846" w14:textId="77777777" w:rsidR="00B13868" w:rsidRPr="00A22460" w:rsidRDefault="00B13868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D532CD9" w14:textId="77777777" w:rsidR="000A312E" w:rsidRDefault="000A312E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  <w:sectPr w:rsidR="000A312E" w:rsidSect="000A312E">
          <w:type w:val="continuous"/>
          <w:pgSz w:w="11906" w:h="16838"/>
          <w:pgMar w:top="1701" w:right="1134" w:bottom="1701" w:left="1701" w:header="720" w:footer="720" w:gutter="0"/>
          <w:cols w:space="720"/>
          <w:titlePg/>
          <w:docGrid w:linePitch="360"/>
        </w:sectPr>
      </w:pPr>
    </w:p>
    <w:p w14:paraId="52EEEEAF" w14:textId="1DCF85F8" w:rsidR="00764E31" w:rsidRPr="00A22460" w:rsidRDefault="00764E31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 xml:space="preserve">Segundo a classificação de Alvares </w:t>
      </w:r>
      <w:r w:rsidRPr="00A22460">
        <w:rPr>
          <w:rFonts w:ascii="Times New Roman" w:hAnsi="Times New Roman"/>
          <w:i/>
          <w:iCs/>
          <w:sz w:val="24"/>
          <w:szCs w:val="24"/>
        </w:rPr>
        <w:t>et al.</w:t>
      </w:r>
      <w:r w:rsidRPr="00A22460">
        <w:rPr>
          <w:rFonts w:ascii="Times New Roman" w:hAnsi="Times New Roman"/>
          <w:sz w:val="24"/>
          <w:szCs w:val="24"/>
        </w:rPr>
        <w:t xml:space="preserve"> (2013)</w:t>
      </w:r>
      <w:r w:rsidR="00C043D7" w:rsidRPr="00A22460">
        <w:rPr>
          <w:rFonts w:ascii="Times New Roman" w:hAnsi="Times New Roman"/>
          <w:sz w:val="24"/>
          <w:szCs w:val="24"/>
        </w:rPr>
        <w:t xml:space="preserve"> e</w:t>
      </w:r>
      <w:r w:rsidRPr="00A224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460">
        <w:rPr>
          <w:rFonts w:ascii="Times New Roman" w:hAnsi="Times New Roman"/>
          <w:sz w:val="24"/>
          <w:szCs w:val="24"/>
        </w:rPr>
        <w:t>Köppen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 e Geiger (1928), </w:t>
      </w:r>
      <w:r w:rsidR="0010100A" w:rsidRPr="00A22460">
        <w:rPr>
          <w:rFonts w:ascii="Times New Roman" w:hAnsi="Times New Roman"/>
          <w:sz w:val="24"/>
          <w:szCs w:val="24"/>
        </w:rPr>
        <w:t xml:space="preserve">o </w:t>
      </w:r>
      <w:r w:rsidRPr="00A22460">
        <w:rPr>
          <w:rFonts w:ascii="Times New Roman" w:hAnsi="Times New Roman"/>
          <w:sz w:val="24"/>
          <w:szCs w:val="24"/>
        </w:rPr>
        <w:t xml:space="preserve">clima da região é classificado como </w:t>
      </w:r>
      <w:proofErr w:type="spellStart"/>
      <w:r w:rsidRPr="00A22460">
        <w:rPr>
          <w:rFonts w:ascii="Times New Roman" w:hAnsi="Times New Roman"/>
          <w:sz w:val="24"/>
          <w:szCs w:val="24"/>
        </w:rPr>
        <w:t>Aw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 (tropical), com precipitação nos meses de outubro a abril, e seca nos meses de maio a setembro. A temperatura máxima oscila de 35º a 37ºC, e a mínima de 12º a 15 ºC (no </w:t>
      </w:r>
      <w:r w:rsidRPr="00A22460">
        <w:rPr>
          <w:rFonts w:ascii="Times New Roman" w:hAnsi="Times New Roman"/>
          <w:sz w:val="24"/>
          <w:szCs w:val="24"/>
        </w:rPr>
        <w:t xml:space="preserve">inverno há ocorrências de até 5ºC). A precipitação anual chega a 1.800 mm aproximadamente, porém mal distribuídas ao longo do ano (Silva </w:t>
      </w:r>
      <w:r w:rsidRPr="00A22460">
        <w:rPr>
          <w:rFonts w:ascii="Times New Roman" w:hAnsi="Times New Roman"/>
          <w:i/>
          <w:iCs/>
          <w:sz w:val="24"/>
          <w:szCs w:val="24"/>
        </w:rPr>
        <w:t>et al.</w:t>
      </w:r>
      <w:r w:rsidRPr="00A22460">
        <w:rPr>
          <w:rFonts w:ascii="Times New Roman" w:hAnsi="Times New Roman"/>
          <w:sz w:val="24"/>
          <w:szCs w:val="24"/>
        </w:rPr>
        <w:t>, 2017).</w:t>
      </w:r>
    </w:p>
    <w:p w14:paraId="16206406" w14:textId="77777777" w:rsidR="000A312E" w:rsidRDefault="00764E31" w:rsidP="0025591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  <w:sectPr w:rsidR="000A312E" w:rsidSect="000A312E">
          <w:type w:val="continuous"/>
          <w:pgSz w:w="11906" w:h="16838"/>
          <w:pgMar w:top="1701" w:right="1134" w:bottom="1701" w:left="1701" w:header="720" w:footer="720" w:gutter="0"/>
          <w:cols w:num="2" w:space="567"/>
          <w:titlePg/>
          <w:docGrid w:linePitch="360"/>
        </w:sectPr>
      </w:pPr>
      <w:r w:rsidRPr="00A22460">
        <w:rPr>
          <w:rFonts w:ascii="Times New Roman" w:hAnsi="Times New Roman"/>
          <w:sz w:val="24"/>
          <w:szCs w:val="24"/>
        </w:rPr>
        <w:t>Durante o desenvolvimento da cultura</w:t>
      </w:r>
      <w:r w:rsidR="0010100A" w:rsidRPr="00A22460">
        <w:rPr>
          <w:rFonts w:ascii="Times New Roman" w:hAnsi="Times New Roman"/>
          <w:sz w:val="24"/>
          <w:szCs w:val="24"/>
        </w:rPr>
        <w:t>,</w:t>
      </w:r>
      <w:r w:rsidRPr="00A22460">
        <w:rPr>
          <w:rFonts w:ascii="Times New Roman" w:hAnsi="Times New Roman"/>
          <w:sz w:val="24"/>
          <w:szCs w:val="24"/>
        </w:rPr>
        <w:t xml:space="preserve"> os dados climáticos locais foram monitorados (Figura 1).</w:t>
      </w:r>
      <w:bookmarkStart w:id="18" w:name="_Toc182134398"/>
      <w:bookmarkStart w:id="19" w:name="_Toc182134434"/>
    </w:p>
    <w:p w14:paraId="5A9EDBA7" w14:textId="3AEC4BB0" w:rsidR="00255911" w:rsidRDefault="00255911" w:rsidP="0025591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AACE814" w14:textId="56AF744A" w:rsidR="00A5454D" w:rsidRDefault="00A5454D" w:rsidP="00255911">
      <w:pPr>
        <w:spacing w:after="0"/>
        <w:ind w:left="992" w:hanging="992"/>
        <w:jc w:val="both"/>
        <w:rPr>
          <w:rFonts w:ascii="Times New Roman" w:hAnsi="Times New Roman"/>
          <w:bCs/>
          <w:iCs/>
          <w:sz w:val="24"/>
          <w:szCs w:val="24"/>
        </w:rPr>
      </w:pPr>
      <w:r w:rsidRPr="00A22460">
        <w:rPr>
          <w:rFonts w:ascii="Times New Roman" w:hAnsi="Times New Roman"/>
          <w:b/>
          <w:iCs/>
          <w:sz w:val="24"/>
          <w:szCs w:val="24"/>
        </w:rPr>
        <w:t xml:space="preserve">Figura </w:t>
      </w:r>
      <w:r w:rsidRPr="00A22460">
        <w:rPr>
          <w:rFonts w:ascii="Times New Roman" w:hAnsi="Times New Roman"/>
          <w:b/>
          <w:iCs/>
          <w:sz w:val="24"/>
          <w:szCs w:val="24"/>
        </w:rPr>
        <w:fldChar w:fldCharType="begin"/>
      </w:r>
      <w:r w:rsidRPr="00A22460">
        <w:rPr>
          <w:rFonts w:ascii="Times New Roman" w:hAnsi="Times New Roman"/>
          <w:b/>
          <w:iCs/>
          <w:sz w:val="24"/>
          <w:szCs w:val="24"/>
        </w:rPr>
        <w:instrText xml:space="preserve"> SEQ Figura \* ARABIC </w:instrText>
      </w:r>
      <w:r w:rsidRPr="00A22460">
        <w:rPr>
          <w:rFonts w:ascii="Times New Roman" w:hAnsi="Times New Roman"/>
          <w:b/>
          <w:iCs/>
          <w:sz w:val="24"/>
          <w:szCs w:val="24"/>
        </w:rPr>
        <w:fldChar w:fldCharType="separate"/>
      </w:r>
      <w:r w:rsidR="00077B8B">
        <w:rPr>
          <w:rFonts w:ascii="Times New Roman" w:hAnsi="Times New Roman"/>
          <w:b/>
          <w:iCs/>
          <w:noProof/>
          <w:sz w:val="24"/>
          <w:szCs w:val="24"/>
        </w:rPr>
        <w:t>1</w:t>
      </w:r>
      <w:r w:rsidRPr="00A22460">
        <w:rPr>
          <w:rFonts w:ascii="Times New Roman" w:hAnsi="Times New Roman"/>
          <w:sz w:val="24"/>
          <w:szCs w:val="24"/>
        </w:rPr>
        <w:fldChar w:fldCharType="end"/>
      </w:r>
      <w:r w:rsidR="000A312E">
        <w:rPr>
          <w:rFonts w:ascii="Times New Roman" w:hAnsi="Times New Roman"/>
          <w:b/>
          <w:iCs/>
          <w:sz w:val="24"/>
          <w:szCs w:val="24"/>
        </w:rPr>
        <w:t>.</w:t>
      </w:r>
      <w:r w:rsidRPr="00A22460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A22460">
        <w:rPr>
          <w:rFonts w:ascii="Times New Roman" w:hAnsi="Times New Roman"/>
          <w:bCs/>
          <w:iCs/>
          <w:sz w:val="24"/>
          <w:szCs w:val="24"/>
        </w:rPr>
        <w:t>Dados diários de temperatura e umidade relativa instantânea no período decorrente do experimento, safra 2024, Rio Verde – GO</w:t>
      </w:r>
      <w:bookmarkEnd w:id="18"/>
      <w:bookmarkEnd w:id="19"/>
    </w:p>
    <w:p w14:paraId="0F13088A" w14:textId="267812C8" w:rsidR="00A5454D" w:rsidRPr="00A22460" w:rsidRDefault="00864006" w:rsidP="00864006">
      <w:pPr>
        <w:spacing w:after="0"/>
        <w:ind w:left="992" w:hanging="992"/>
        <w:jc w:val="center"/>
        <w:rPr>
          <w:rFonts w:ascii="Times New Roman" w:hAnsi="Times New Roman"/>
          <w:bCs/>
          <w:iCs/>
          <w:sz w:val="24"/>
          <w:szCs w:val="24"/>
        </w:rPr>
      </w:pPr>
      <w:r w:rsidRPr="00864006">
        <w:rPr>
          <w:rFonts w:ascii="Times New Roman" w:hAnsi="Times New Roman"/>
          <w:bCs/>
          <w:iCs/>
          <w:noProof/>
          <w:sz w:val="24"/>
          <w:szCs w:val="24"/>
        </w:rPr>
        <w:drawing>
          <wp:inline distT="0" distB="0" distL="0" distR="0" wp14:anchorId="62DC054B" wp14:editId="0A588287">
            <wp:extent cx="5400000" cy="1882350"/>
            <wp:effectExtent l="0" t="0" r="0" b="3810"/>
            <wp:docPr id="2881659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16592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188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008D4" w14:textId="5D13E032" w:rsidR="00103AB1" w:rsidRPr="00A22460" w:rsidRDefault="00103AB1" w:rsidP="00AA5D6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22460">
        <w:rPr>
          <w:rFonts w:ascii="Times New Roman" w:hAnsi="Times New Roman"/>
          <w:b/>
          <w:sz w:val="20"/>
          <w:szCs w:val="20"/>
        </w:rPr>
        <w:t>Fonte:</w:t>
      </w:r>
      <w:r w:rsidRPr="00A22460">
        <w:rPr>
          <w:rFonts w:ascii="Times New Roman" w:hAnsi="Times New Roman"/>
          <w:sz w:val="20"/>
          <w:szCs w:val="20"/>
        </w:rPr>
        <w:t xml:space="preserve"> Estação automática Normal INMET – Rio Verde – GO</w:t>
      </w:r>
    </w:p>
    <w:p w14:paraId="6FAD611A" w14:textId="77777777" w:rsidR="00B13868" w:rsidRPr="00A22460" w:rsidRDefault="00B13868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BC6B868" w14:textId="77777777" w:rsidR="000A312E" w:rsidRDefault="000A312E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  <w:sectPr w:rsidR="000A312E" w:rsidSect="000A312E">
          <w:type w:val="continuous"/>
          <w:pgSz w:w="11906" w:h="16838"/>
          <w:pgMar w:top="1701" w:right="1134" w:bottom="1701" w:left="1701" w:header="720" w:footer="720" w:gutter="0"/>
          <w:cols w:space="720"/>
          <w:titlePg/>
          <w:docGrid w:linePitch="360"/>
        </w:sectPr>
      </w:pPr>
    </w:p>
    <w:p w14:paraId="4E3E7FD9" w14:textId="73A9FFC9" w:rsidR="00AA310C" w:rsidRPr="00A22460" w:rsidRDefault="00031EEF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lastRenderedPageBreak/>
        <w:t>A correção do solo foi realizada no vaso e incorporada no solo na camada de 0-20 cm de profundidade, a quantidade de fertilizantes utilizada foi correspondente a 4 t ha</w:t>
      </w:r>
      <w:r w:rsidRPr="00A22460">
        <w:rPr>
          <w:rFonts w:ascii="Times New Roman" w:hAnsi="Times New Roman"/>
          <w:sz w:val="24"/>
          <w:szCs w:val="24"/>
          <w:vertAlign w:val="superscript"/>
        </w:rPr>
        <w:t>-1</w:t>
      </w:r>
      <w:r w:rsidRPr="00A22460">
        <w:rPr>
          <w:rFonts w:ascii="Times New Roman" w:hAnsi="Times New Roman"/>
          <w:sz w:val="24"/>
          <w:szCs w:val="24"/>
        </w:rPr>
        <w:t xml:space="preserve"> do calcário dolomítico. A adubação de plantio foi realizada no vaso e incorporada no solo na camada de </w:t>
      </w:r>
      <w:r w:rsidR="0010100A" w:rsidRPr="00A22460">
        <w:rPr>
          <w:rFonts w:ascii="Times New Roman" w:hAnsi="Times New Roman"/>
          <w:sz w:val="24"/>
          <w:szCs w:val="24"/>
        </w:rPr>
        <w:t>0-10 cm</w:t>
      </w:r>
      <w:r w:rsidRPr="00A22460">
        <w:rPr>
          <w:rFonts w:ascii="Times New Roman" w:hAnsi="Times New Roman"/>
          <w:sz w:val="24"/>
          <w:szCs w:val="24"/>
        </w:rPr>
        <w:t xml:space="preserve"> de profundidade, a quantidade de fertilizantes utilizada foi correspondente a 120 kg </w:t>
      </w:r>
      <w:proofErr w:type="spellStart"/>
      <w:r w:rsidRPr="00A22460">
        <w:rPr>
          <w:rFonts w:ascii="Times New Roman" w:hAnsi="Times New Roman"/>
          <w:sz w:val="24"/>
          <w:szCs w:val="24"/>
        </w:rPr>
        <w:t>ha</w:t>
      </w:r>
      <w:proofErr w:type="spellEnd"/>
      <w:r w:rsidRPr="00A22460">
        <w:rPr>
          <w:rFonts w:ascii="Times New Roman" w:hAnsi="Times New Roman"/>
          <w:sz w:val="24"/>
          <w:szCs w:val="24"/>
          <w:vertAlign w:val="superscript"/>
        </w:rPr>
        <w:t>-1</w:t>
      </w:r>
      <w:r w:rsidRPr="00A22460">
        <w:rPr>
          <w:rFonts w:ascii="Times New Roman" w:hAnsi="Times New Roman"/>
          <w:sz w:val="24"/>
          <w:szCs w:val="24"/>
        </w:rPr>
        <w:t xml:space="preserve"> de P</w:t>
      </w:r>
      <w:r w:rsidRPr="00A22460">
        <w:rPr>
          <w:rFonts w:ascii="Times New Roman" w:hAnsi="Times New Roman"/>
          <w:sz w:val="24"/>
          <w:szCs w:val="24"/>
          <w:vertAlign w:val="subscript"/>
        </w:rPr>
        <w:t>2</w:t>
      </w:r>
      <w:r w:rsidRPr="00A22460">
        <w:rPr>
          <w:rFonts w:ascii="Times New Roman" w:hAnsi="Times New Roman"/>
          <w:sz w:val="24"/>
          <w:szCs w:val="24"/>
        </w:rPr>
        <w:t>O</w:t>
      </w:r>
      <w:r w:rsidRPr="00A22460">
        <w:rPr>
          <w:rFonts w:ascii="Times New Roman" w:hAnsi="Times New Roman"/>
          <w:sz w:val="24"/>
          <w:szCs w:val="24"/>
          <w:vertAlign w:val="subscript"/>
        </w:rPr>
        <w:t>5</w:t>
      </w:r>
      <w:r w:rsidRPr="00A22460">
        <w:rPr>
          <w:rFonts w:ascii="Times New Roman" w:hAnsi="Times New Roman"/>
          <w:sz w:val="24"/>
          <w:szCs w:val="24"/>
        </w:rPr>
        <w:t xml:space="preserve"> utilizando a fonte MAP e 130 kg </w:t>
      </w:r>
      <w:proofErr w:type="spellStart"/>
      <w:r w:rsidRPr="00A22460">
        <w:rPr>
          <w:rFonts w:ascii="Times New Roman" w:hAnsi="Times New Roman"/>
          <w:sz w:val="24"/>
          <w:szCs w:val="24"/>
        </w:rPr>
        <w:t>ha</w:t>
      </w:r>
      <w:proofErr w:type="spellEnd"/>
      <w:r w:rsidRPr="00A22460">
        <w:rPr>
          <w:rFonts w:ascii="Times New Roman" w:hAnsi="Times New Roman"/>
          <w:sz w:val="24"/>
          <w:szCs w:val="24"/>
          <w:vertAlign w:val="superscript"/>
        </w:rPr>
        <w:t>-1</w:t>
      </w:r>
      <w:r w:rsidRPr="00A22460">
        <w:rPr>
          <w:rFonts w:ascii="Times New Roman" w:hAnsi="Times New Roman"/>
          <w:sz w:val="24"/>
          <w:szCs w:val="24"/>
        </w:rPr>
        <w:t xml:space="preserve"> de K</w:t>
      </w:r>
      <w:r w:rsidRPr="00A22460">
        <w:rPr>
          <w:rFonts w:ascii="Times New Roman" w:hAnsi="Times New Roman"/>
          <w:sz w:val="24"/>
          <w:szCs w:val="24"/>
          <w:vertAlign w:val="subscript"/>
        </w:rPr>
        <w:t>2</w:t>
      </w:r>
      <w:r w:rsidRPr="00A22460">
        <w:rPr>
          <w:rFonts w:ascii="Times New Roman" w:hAnsi="Times New Roman"/>
          <w:sz w:val="24"/>
          <w:szCs w:val="24"/>
        </w:rPr>
        <w:t xml:space="preserve">O utilizando a fonte </w:t>
      </w:r>
      <w:proofErr w:type="spellStart"/>
      <w:r w:rsidRPr="00A22460">
        <w:rPr>
          <w:rFonts w:ascii="Times New Roman" w:hAnsi="Times New Roman"/>
          <w:sz w:val="24"/>
          <w:szCs w:val="24"/>
        </w:rPr>
        <w:t>KC</w:t>
      </w:r>
      <w:r w:rsidR="00EA192F" w:rsidRPr="00A22460">
        <w:rPr>
          <w:rFonts w:ascii="Times New Roman" w:hAnsi="Times New Roman"/>
          <w:sz w:val="24"/>
          <w:szCs w:val="24"/>
        </w:rPr>
        <w:t>l</w:t>
      </w:r>
      <w:proofErr w:type="spellEnd"/>
      <w:r w:rsidRPr="00A22460">
        <w:rPr>
          <w:rFonts w:ascii="Times New Roman" w:hAnsi="Times New Roman"/>
          <w:sz w:val="24"/>
          <w:szCs w:val="24"/>
        </w:rPr>
        <w:t>. Foi realizada</w:t>
      </w:r>
      <w:r w:rsidR="00960F75" w:rsidRPr="00A22460">
        <w:rPr>
          <w:rFonts w:ascii="Times New Roman" w:hAnsi="Times New Roman"/>
          <w:sz w:val="24"/>
          <w:szCs w:val="24"/>
        </w:rPr>
        <w:t xml:space="preserve"> a</w:t>
      </w:r>
      <w:r w:rsidRPr="00A22460">
        <w:rPr>
          <w:rFonts w:ascii="Times New Roman" w:hAnsi="Times New Roman"/>
          <w:sz w:val="24"/>
          <w:szCs w:val="24"/>
        </w:rPr>
        <w:t xml:space="preserve"> aplicação de uma solução para fornecimento dos micronutrientes Mn, Zn e B, em uma quantidade de 1 kg </w:t>
      </w:r>
      <w:proofErr w:type="spellStart"/>
      <w:r w:rsidRPr="00A22460">
        <w:rPr>
          <w:rFonts w:ascii="Times New Roman" w:hAnsi="Times New Roman"/>
          <w:sz w:val="24"/>
          <w:szCs w:val="24"/>
        </w:rPr>
        <w:t>ha</w:t>
      </w:r>
      <w:proofErr w:type="spellEnd"/>
      <w:r w:rsidRPr="00A22460">
        <w:rPr>
          <w:rFonts w:ascii="Times New Roman" w:hAnsi="Times New Roman"/>
          <w:sz w:val="24"/>
          <w:szCs w:val="24"/>
          <w:vertAlign w:val="superscript"/>
        </w:rPr>
        <w:t>-1</w:t>
      </w:r>
      <w:r w:rsidRPr="00A22460">
        <w:rPr>
          <w:rFonts w:ascii="Times New Roman" w:hAnsi="Times New Roman"/>
          <w:sz w:val="24"/>
          <w:szCs w:val="24"/>
        </w:rPr>
        <w:t xml:space="preserve">, utilizando a fonte sulfato de manganês, sulfato de zinco e ácido bórico. A adubação de cobertura foi realizada no estádio V3, na quantidade de 120 kg </w:t>
      </w:r>
      <w:proofErr w:type="spellStart"/>
      <w:r w:rsidRPr="00A22460">
        <w:rPr>
          <w:rFonts w:ascii="Times New Roman" w:hAnsi="Times New Roman"/>
          <w:sz w:val="24"/>
          <w:szCs w:val="24"/>
        </w:rPr>
        <w:t>ha</w:t>
      </w:r>
      <w:proofErr w:type="spellEnd"/>
      <w:r w:rsidRPr="00A22460">
        <w:rPr>
          <w:rFonts w:ascii="Times New Roman" w:hAnsi="Times New Roman"/>
          <w:sz w:val="24"/>
          <w:szCs w:val="24"/>
          <w:vertAlign w:val="superscript"/>
        </w:rPr>
        <w:t>-1</w:t>
      </w:r>
      <w:r w:rsidRPr="00A22460">
        <w:rPr>
          <w:rFonts w:ascii="Times New Roman" w:hAnsi="Times New Roman"/>
          <w:sz w:val="24"/>
          <w:szCs w:val="24"/>
        </w:rPr>
        <w:t xml:space="preserve"> de N, na superfície do vaso, utilizando a fonte ureia. A correção e adubação foi realizada de acordo com necessidade da cultura, baseado na análise de solo, segundo recomendações de Sousa </w:t>
      </w:r>
      <w:r w:rsidR="00D448B6" w:rsidRPr="00A22460">
        <w:rPr>
          <w:rFonts w:ascii="Times New Roman" w:hAnsi="Times New Roman"/>
          <w:sz w:val="24"/>
          <w:szCs w:val="24"/>
        </w:rPr>
        <w:t>e</w:t>
      </w:r>
      <w:r w:rsidRPr="00A22460">
        <w:rPr>
          <w:rFonts w:ascii="Times New Roman" w:hAnsi="Times New Roman"/>
          <w:sz w:val="24"/>
          <w:szCs w:val="24"/>
        </w:rPr>
        <w:t xml:space="preserve"> Lobato (2004).</w:t>
      </w:r>
    </w:p>
    <w:p w14:paraId="78027329" w14:textId="65439475" w:rsidR="00D40BA2" w:rsidRPr="00A22460" w:rsidRDefault="00AA310C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 xml:space="preserve">Foi </w:t>
      </w:r>
      <w:r w:rsidR="008E08E4" w:rsidRPr="00A22460">
        <w:rPr>
          <w:rFonts w:ascii="Times New Roman" w:hAnsi="Times New Roman"/>
          <w:sz w:val="24"/>
          <w:szCs w:val="24"/>
        </w:rPr>
        <w:t xml:space="preserve">utilizado </w:t>
      </w:r>
      <w:r w:rsidRPr="00A22460">
        <w:rPr>
          <w:rFonts w:ascii="Times New Roman" w:hAnsi="Times New Roman"/>
          <w:sz w:val="24"/>
          <w:szCs w:val="24"/>
        </w:rPr>
        <w:t>o feijão carioca (</w:t>
      </w:r>
      <w:proofErr w:type="spellStart"/>
      <w:r w:rsidRPr="00A22460">
        <w:rPr>
          <w:rFonts w:ascii="Times New Roman" w:hAnsi="Times New Roman"/>
          <w:i/>
          <w:sz w:val="24"/>
          <w:szCs w:val="24"/>
        </w:rPr>
        <w:t>Phaseolus</w:t>
      </w:r>
      <w:proofErr w:type="spellEnd"/>
      <w:r w:rsidRPr="00A2246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2460">
        <w:rPr>
          <w:rFonts w:ascii="Times New Roman" w:hAnsi="Times New Roman"/>
          <w:i/>
          <w:sz w:val="24"/>
          <w:szCs w:val="24"/>
        </w:rPr>
        <w:t>vulgaris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 L.)</w:t>
      </w:r>
      <w:r w:rsidR="008E08E4" w:rsidRPr="00A22460">
        <w:rPr>
          <w:rFonts w:ascii="Times New Roman" w:hAnsi="Times New Roman"/>
          <w:sz w:val="24"/>
          <w:szCs w:val="24"/>
        </w:rPr>
        <w:t xml:space="preserve"> da</w:t>
      </w:r>
      <w:r w:rsidRPr="00A22460">
        <w:rPr>
          <w:rFonts w:ascii="Times New Roman" w:hAnsi="Times New Roman"/>
          <w:sz w:val="24"/>
          <w:szCs w:val="24"/>
        </w:rPr>
        <w:t xml:space="preserve"> cultivar BRS Estilo</w:t>
      </w:r>
      <w:r w:rsidR="008E08E4" w:rsidRPr="00A22460">
        <w:rPr>
          <w:rFonts w:ascii="Times New Roman" w:hAnsi="Times New Roman"/>
          <w:sz w:val="24"/>
          <w:szCs w:val="24"/>
        </w:rPr>
        <w:t>,</w:t>
      </w:r>
      <w:r w:rsidRPr="00A22460">
        <w:rPr>
          <w:rFonts w:ascii="Times New Roman" w:hAnsi="Times New Roman"/>
          <w:sz w:val="24"/>
          <w:szCs w:val="24"/>
        </w:rPr>
        <w:t xml:space="preserve"> desenvolvido pela </w:t>
      </w:r>
      <w:r w:rsidR="00D448B6" w:rsidRPr="00A22460">
        <w:rPr>
          <w:rFonts w:ascii="Times New Roman" w:hAnsi="Times New Roman"/>
          <w:sz w:val="24"/>
          <w:szCs w:val="24"/>
        </w:rPr>
        <w:t>Embrapa</w:t>
      </w:r>
      <w:r w:rsidRPr="00A22460">
        <w:rPr>
          <w:rFonts w:ascii="Times New Roman" w:hAnsi="Times New Roman"/>
          <w:sz w:val="24"/>
          <w:szCs w:val="24"/>
          <w:vertAlign w:val="superscript"/>
        </w:rPr>
        <w:t>®</w:t>
      </w:r>
      <w:r w:rsidRPr="00A22460">
        <w:rPr>
          <w:rFonts w:ascii="Times New Roman" w:hAnsi="Times New Roman"/>
          <w:sz w:val="24"/>
          <w:szCs w:val="24"/>
        </w:rPr>
        <w:t>, semeada em 15 de maio de 2024. O feijão carioca foi semeado manualmente a 3 cm de profundidade nos vasos num total de 5 plantas por vaso.</w:t>
      </w:r>
      <w:r w:rsidR="0075753F" w:rsidRPr="00A22460">
        <w:rPr>
          <w:rFonts w:ascii="Times New Roman" w:hAnsi="Times New Roman"/>
          <w:sz w:val="24"/>
          <w:szCs w:val="24"/>
        </w:rPr>
        <w:t xml:space="preserve"> </w:t>
      </w:r>
      <w:r w:rsidR="00D40BA2" w:rsidRPr="00A22460">
        <w:rPr>
          <w:rFonts w:ascii="Times New Roman" w:hAnsi="Times New Roman"/>
          <w:sz w:val="24"/>
          <w:szCs w:val="24"/>
        </w:rPr>
        <w:t xml:space="preserve">Foi realizado o desbaste das plantas nos vasos deixando 2 plantas por vaso aos 7 dias após a emergência (DAE). </w:t>
      </w:r>
    </w:p>
    <w:p w14:paraId="1108EE0C" w14:textId="2AD603F0" w:rsidR="00D40BA2" w:rsidRPr="00A22460" w:rsidRDefault="00D40BA2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 xml:space="preserve">Foi realizado o monitoramento da cultura durante todo ciclo de cultivo, o controle de plantas daninhas foi realizado através </w:t>
      </w:r>
      <w:r w:rsidR="008E08E4" w:rsidRPr="00A22460">
        <w:rPr>
          <w:rFonts w:ascii="Times New Roman" w:hAnsi="Times New Roman"/>
          <w:sz w:val="24"/>
          <w:szCs w:val="24"/>
        </w:rPr>
        <w:t xml:space="preserve">do </w:t>
      </w:r>
      <w:r w:rsidRPr="00A22460">
        <w:rPr>
          <w:rFonts w:ascii="Times New Roman" w:hAnsi="Times New Roman"/>
          <w:sz w:val="24"/>
          <w:szCs w:val="24"/>
        </w:rPr>
        <w:t>arranquio manual das plantas emergidas nos vasos, foi necessária aplicação de inseticidas</w:t>
      </w:r>
      <w:r w:rsidR="008E08E4" w:rsidRPr="00A22460">
        <w:rPr>
          <w:rFonts w:ascii="Times New Roman" w:hAnsi="Times New Roman"/>
          <w:sz w:val="24"/>
          <w:szCs w:val="24"/>
        </w:rPr>
        <w:t xml:space="preserve"> aos</w:t>
      </w:r>
      <w:r w:rsidRPr="00A22460">
        <w:rPr>
          <w:rFonts w:ascii="Times New Roman" w:hAnsi="Times New Roman"/>
          <w:sz w:val="24"/>
          <w:szCs w:val="24"/>
        </w:rPr>
        <w:t xml:space="preserve"> 14 DAE, para controle de branca (</w:t>
      </w:r>
      <w:proofErr w:type="spellStart"/>
      <w:r w:rsidRPr="00A22460">
        <w:rPr>
          <w:rFonts w:ascii="Times New Roman" w:hAnsi="Times New Roman"/>
          <w:i/>
          <w:sz w:val="24"/>
          <w:szCs w:val="24"/>
        </w:rPr>
        <w:t>Bemisia</w:t>
      </w:r>
      <w:proofErr w:type="spellEnd"/>
      <w:r w:rsidRPr="00A2246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2460">
        <w:rPr>
          <w:rFonts w:ascii="Times New Roman" w:hAnsi="Times New Roman"/>
          <w:i/>
          <w:sz w:val="24"/>
          <w:szCs w:val="24"/>
        </w:rPr>
        <w:t>tabaci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 raça B), foi utilizado o produto comercial </w:t>
      </w:r>
      <w:proofErr w:type="spellStart"/>
      <w:r w:rsidRPr="00A22460">
        <w:rPr>
          <w:rFonts w:ascii="Times New Roman" w:hAnsi="Times New Roman"/>
          <w:sz w:val="24"/>
          <w:szCs w:val="24"/>
        </w:rPr>
        <w:t>Engeo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 Pleno S</w:t>
      </w:r>
      <w:r w:rsidRPr="00A22460">
        <w:rPr>
          <w:rFonts w:ascii="Times New Roman" w:hAnsi="Times New Roman"/>
          <w:sz w:val="24"/>
          <w:szCs w:val="24"/>
          <w:vertAlign w:val="superscript"/>
        </w:rPr>
        <w:t>®</w:t>
      </w:r>
      <w:r w:rsidRPr="00A2246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22460">
        <w:rPr>
          <w:rFonts w:ascii="Times New Roman" w:hAnsi="Times New Roman"/>
          <w:i/>
          <w:sz w:val="24"/>
          <w:szCs w:val="24"/>
        </w:rPr>
        <w:t>Tiametoxam</w:t>
      </w:r>
      <w:proofErr w:type="spellEnd"/>
      <w:r w:rsidRPr="00A22460">
        <w:rPr>
          <w:rFonts w:ascii="Times New Roman" w:hAnsi="Times New Roman"/>
          <w:i/>
          <w:sz w:val="24"/>
          <w:szCs w:val="24"/>
        </w:rPr>
        <w:t xml:space="preserve"> + Lambda-</w:t>
      </w:r>
      <w:proofErr w:type="spellStart"/>
      <w:r w:rsidRPr="00A22460">
        <w:rPr>
          <w:rFonts w:ascii="Times New Roman" w:hAnsi="Times New Roman"/>
          <w:i/>
          <w:sz w:val="24"/>
          <w:szCs w:val="24"/>
        </w:rPr>
        <w:t>Cialotrina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) na dose de 100 </w:t>
      </w:r>
      <w:proofErr w:type="spellStart"/>
      <w:r w:rsidRPr="00A22460">
        <w:rPr>
          <w:rFonts w:ascii="Times New Roman" w:hAnsi="Times New Roman"/>
          <w:sz w:val="24"/>
          <w:szCs w:val="24"/>
        </w:rPr>
        <w:t>mL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460">
        <w:rPr>
          <w:rFonts w:ascii="Times New Roman" w:hAnsi="Times New Roman"/>
          <w:sz w:val="24"/>
          <w:szCs w:val="24"/>
        </w:rPr>
        <w:t>ha</w:t>
      </w:r>
      <w:proofErr w:type="spellEnd"/>
      <w:r w:rsidRPr="00A22460">
        <w:rPr>
          <w:rFonts w:ascii="Times New Roman" w:hAnsi="Times New Roman"/>
          <w:sz w:val="24"/>
          <w:szCs w:val="24"/>
          <w:vertAlign w:val="superscript"/>
        </w:rPr>
        <w:t>-1</w:t>
      </w:r>
      <w:r w:rsidRPr="00A22460">
        <w:rPr>
          <w:rFonts w:ascii="Times New Roman" w:hAnsi="Times New Roman"/>
          <w:sz w:val="24"/>
          <w:szCs w:val="24"/>
        </w:rPr>
        <w:t>, não foi necessária aplicação de fungicidas e nenhum outro produto fitossanitário até o final dos 30 DAE.</w:t>
      </w:r>
    </w:p>
    <w:p w14:paraId="641CAA0F" w14:textId="0D604278" w:rsidR="0075753F" w:rsidRPr="00A22460" w:rsidRDefault="0075753F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 xml:space="preserve">Foram utilizados vasos de 5 L de preenchidos com solo até 2 cm da margem da borda. O solo foi peneirado para retirada </w:t>
      </w:r>
      <w:r w:rsidRPr="00A22460">
        <w:rPr>
          <w:rFonts w:ascii="Times New Roman" w:hAnsi="Times New Roman"/>
          <w:sz w:val="24"/>
          <w:szCs w:val="24"/>
        </w:rPr>
        <w:t>dos torrões e foram colocados um total de 5 kg de solo (Terra fina seca ao ar - TFSA) em cada vaso.</w:t>
      </w:r>
    </w:p>
    <w:p w14:paraId="77DB82A8" w14:textId="302302C9" w:rsidR="00CE33C7" w:rsidRPr="00A22460" w:rsidRDefault="00CE33C7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 xml:space="preserve">Foi utilizado um delineamento inteiramente </w:t>
      </w:r>
      <w:proofErr w:type="spellStart"/>
      <w:r w:rsidRPr="00A22460">
        <w:rPr>
          <w:rFonts w:ascii="Times New Roman" w:hAnsi="Times New Roman"/>
          <w:sz w:val="24"/>
          <w:szCs w:val="24"/>
        </w:rPr>
        <w:t>casualizado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 (DIC), em esquema fatorial de 4 x 4, sendo 4 tratamentos de sementes (Microrganismos, bioestimulantes, microrganismos + bioestimulantes e testemunha) e 4 níveis de reposição hídrica (25, 50, 75 e 100% da </w:t>
      </w:r>
      <w:r w:rsidR="009F126F" w:rsidRPr="00A22460">
        <w:rPr>
          <w:rFonts w:ascii="Times New Roman" w:hAnsi="Times New Roman"/>
          <w:sz w:val="24"/>
          <w:szCs w:val="24"/>
        </w:rPr>
        <w:t>c</w:t>
      </w:r>
      <w:r w:rsidRPr="00A22460">
        <w:rPr>
          <w:rFonts w:ascii="Times New Roman" w:hAnsi="Times New Roman"/>
          <w:sz w:val="24"/>
          <w:szCs w:val="24"/>
        </w:rPr>
        <w:t>apacidade de campo – CC), com 5 repetições, totalizando 16 tratamentos e 80 unidades experimentais (Vasos).</w:t>
      </w:r>
    </w:p>
    <w:p w14:paraId="14A1D9DA" w14:textId="42288928" w:rsidR="007845F5" w:rsidRPr="00A22460" w:rsidRDefault="007845F5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>Os tratamentos previstos</w:t>
      </w:r>
      <w:r w:rsidR="009F126F" w:rsidRPr="00A22460">
        <w:rPr>
          <w:rFonts w:ascii="Times New Roman" w:hAnsi="Times New Roman"/>
          <w:sz w:val="24"/>
          <w:szCs w:val="24"/>
        </w:rPr>
        <w:t xml:space="preserve"> com</w:t>
      </w:r>
      <w:r w:rsidRPr="00A22460">
        <w:rPr>
          <w:rFonts w:ascii="Times New Roman" w:hAnsi="Times New Roman"/>
          <w:sz w:val="24"/>
          <w:szCs w:val="24"/>
        </w:rPr>
        <w:t xml:space="preserve"> aplicações de microrganismos receberam uma dose de produtos comerciais no tratamento de sementes contendo os microrganismos (</w:t>
      </w:r>
      <w:r w:rsidRPr="00A22460">
        <w:rPr>
          <w:rFonts w:ascii="Times New Roman" w:hAnsi="Times New Roman"/>
          <w:i/>
          <w:sz w:val="24"/>
          <w:szCs w:val="24"/>
        </w:rPr>
        <w:t xml:space="preserve">Bacillus </w:t>
      </w:r>
      <w:proofErr w:type="spellStart"/>
      <w:r w:rsidRPr="00A22460">
        <w:rPr>
          <w:rFonts w:ascii="Times New Roman" w:hAnsi="Times New Roman"/>
          <w:i/>
          <w:sz w:val="24"/>
          <w:szCs w:val="24"/>
        </w:rPr>
        <w:t>aryabhattai</w:t>
      </w:r>
      <w:proofErr w:type="spellEnd"/>
      <w:r w:rsidRPr="00A22460">
        <w:rPr>
          <w:rFonts w:ascii="Times New Roman" w:hAnsi="Times New Roman"/>
          <w:i/>
          <w:sz w:val="24"/>
          <w:szCs w:val="24"/>
        </w:rPr>
        <w:t xml:space="preserve">, Bacillus </w:t>
      </w:r>
      <w:proofErr w:type="spellStart"/>
      <w:r w:rsidRPr="00A22460">
        <w:rPr>
          <w:rFonts w:ascii="Times New Roman" w:hAnsi="Times New Roman"/>
          <w:i/>
          <w:sz w:val="24"/>
          <w:szCs w:val="24"/>
        </w:rPr>
        <w:t>subtilis</w:t>
      </w:r>
      <w:proofErr w:type="spellEnd"/>
      <w:r w:rsidRPr="00A22460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A22460">
        <w:rPr>
          <w:rFonts w:ascii="Times New Roman" w:hAnsi="Times New Roman"/>
          <w:i/>
          <w:sz w:val="24"/>
          <w:szCs w:val="24"/>
        </w:rPr>
        <w:t>Trichoderma</w:t>
      </w:r>
      <w:proofErr w:type="spellEnd"/>
      <w:r w:rsidRPr="00A2246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2460">
        <w:rPr>
          <w:rFonts w:ascii="Times New Roman" w:hAnsi="Times New Roman"/>
          <w:i/>
          <w:sz w:val="24"/>
          <w:szCs w:val="24"/>
        </w:rPr>
        <w:t>asperellum</w:t>
      </w:r>
      <w:proofErr w:type="spellEnd"/>
      <w:r w:rsidRPr="00A22460">
        <w:rPr>
          <w:rFonts w:ascii="Times New Roman" w:hAnsi="Times New Roman"/>
          <w:i/>
          <w:sz w:val="24"/>
          <w:szCs w:val="24"/>
        </w:rPr>
        <w:t xml:space="preserve">). </w:t>
      </w:r>
      <w:r w:rsidRPr="00A22460">
        <w:rPr>
          <w:rFonts w:ascii="Times New Roman" w:hAnsi="Times New Roman"/>
          <w:sz w:val="24"/>
          <w:szCs w:val="24"/>
        </w:rPr>
        <w:t xml:space="preserve">Todos os tratamentos receberam aplicação de inoculante comercial </w:t>
      </w:r>
      <w:proofErr w:type="spellStart"/>
      <w:r w:rsidRPr="00A22460">
        <w:rPr>
          <w:rFonts w:ascii="Times New Roman" w:hAnsi="Times New Roman"/>
          <w:sz w:val="24"/>
          <w:szCs w:val="24"/>
        </w:rPr>
        <w:t>Nodumax</w:t>
      </w:r>
      <w:proofErr w:type="spellEnd"/>
      <w:r w:rsidRPr="00A22460">
        <w:rPr>
          <w:rFonts w:ascii="Times New Roman" w:hAnsi="Times New Roman"/>
          <w:sz w:val="24"/>
          <w:szCs w:val="24"/>
          <w:vertAlign w:val="superscript"/>
        </w:rPr>
        <w:t>®</w:t>
      </w:r>
      <w:r w:rsidRPr="00A22460">
        <w:rPr>
          <w:rFonts w:ascii="Times New Roman" w:hAnsi="Times New Roman"/>
          <w:sz w:val="24"/>
          <w:szCs w:val="24"/>
        </w:rPr>
        <w:t xml:space="preserve"> líquido à base de </w:t>
      </w:r>
      <w:proofErr w:type="spellStart"/>
      <w:r w:rsidRPr="00A22460">
        <w:rPr>
          <w:rFonts w:ascii="Times New Roman" w:hAnsi="Times New Roman"/>
          <w:i/>
          <w:sz w:val="24"/>
          <w:szCs w:val="24"/>
        </w:rPr>
        <w:t>Bradyrhizobium</w:t>
      </w:r>
      <w:proofErr w:type="spellEnd"/>
      <w:r w:rsidRPr="00A2246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2460">
        <w:rPr>
          <w:rFonts w:ascii="Times New Roman" w:hAnsi="Times New Roman"/>
          <w:i/>
          <w:sz w:val="24"/>
          <w:szCs w:val="24"/>
        </w:rPr>
        <w:t>japonicum</w:t>
      </w:r>
      <w:proofErr w:type="spellEnd"/>
      <w:r w:rsidRPr="00A22460">
        <w:rPr>
          <w:rFonts w:ascii="Times New Roman" w:hAnsi="Times New Roman"/>
          <w:i/>
          <w:sz w:val="24"/>
          <w:szCs w:val="24"/>
        </w:rPr>
        <w:t xml:space="preserve"> </w:t>
      </w:r>
      <w:r w:rsidR="009F126F" w:rsidRPr="00A22460">
        <w:rPr>
          <w:rFonts w:ascii="Times New Roman" w:hAnsi="Times New Roman"/>
          <w:iCs/>
          <w:sz w:val="24"/>
          <w:szCs w:val="24"/>
        </w:rPr>
        <w:t>(</w:t>
      </w:r>
      <w:r w:rsidRPr="00A22460">
        <w:rPr>
          <w:rFonts w:ascii="Times New Roman" w:hAnsi="Times New Roman"/>
          <w:sz w:val="24"/>
          <w:szCs w:val="24"/>
        </w:rPr>
        <w:t xml:space="preserve">na concentração de 7,2 x 10⁹ e dose de 2 </w:t>
      </w:r>
      <w:proofErr w:type="spellStart"/>
      <w:r w:rsidRPr="00A22460">
        <w:rPr>
          <w:rFonts w:ascii="Times New Roman" w:hAnsi="Times New Roman"/>
          <w:sz w:val="24"/>
          <w:szCs w:val="24"/>
        </w:rPr>
        <w:t>mL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 kg</w:t>
      </w:r>
      <w:r w:rsidRPr="00A22460">
        <w:rPr>
          <w:rFonts w:ascii="Times New Roman" w:hAnsi="Times New Roman"/>
          <w:sz w:val="24"/>
          <w:szCs w:val="24"/>
          <w:vertAlign w:val="superscript"/>
        </w:rPr>
        <w:t>-1</w:t>
      </w:r>
      <w:r w:rsidRPr="00A22460">
        <w:rPr>
          <w:rFonts w:ascii="Times New Roman" w:hAnsi="Times New Roman"/>
          <w:sz w:val="24"/>
          <w:szCs w:val="24"/>
        </w:rPr>
        <w:t xml:space="preserve"> de semente).</w:t>
      </w:r>
    </w:p>
    <w:p w14:paraId="202F3CF7" w14:textId="2BC5EFD3" w:rsidR="007845F5" w:rsidRPr="00A22460" w:rsidRDefault="007845F5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 xml:space="preserve">Os produtos comerciais utilizados foram: </w:t>
      </w:r>
      <w:proofErr w:type="spellStart"/>
      <w:r w:rsidRPr="00A22460">
        <w:rPr>
          <w:rFonts w:ascii="Times New Roman" w:hAnsi="Times New Roman"/>
          <w:sz w:val="24"/>
          <w:szCs w:val="24"/>
        </w:rPr>
        <w:t>Arid</w:t>
      </w:r>
      <w:proofErr w:type="spellEnd"/>
      <w:r w:rsidRPr="00A22460">
        <w:rPr>
          <w:rFonts w:ascii="Times New Roman" w:hAnsi="Times New Roman"/>
          <w:sz w:val="24"/>
          <w:szCs w:val="24"/>
          <w:vertAlign w:val="superscript"/>
        </w:rPr>
        <w:t>®</w:t>
      </w:r>
      <w:r w:rsidRPr="00A22460">
        <w:rPr>
          <w:rFonts w:ascii="Times New Roman" w:hAnsi="Times New Roman"/>
          <w:sz w:val="24"/>
          <w:szCs w:val="24"/>
        </w:rPr>
        <w:t xml:space="preserve"> à base de </w:t>
      </w:r>
      <w:r w:rsidRPr="00A22460">
        <w:rPr>
          <w:rFonts w:ascii="Times New Roman" w:hAnsi="Times New Roman"/>
          <w:i/>
          <w:sz w:val="24"/>
          <w:szCs w:val="24"/>
        </w:rPr>
        <w:t xml:space="preserve">Bacillus </w:t>
      </w:r>
      <w:proofErr w:type="spellStart"/>
      <w:r w:rsidRPr="00A22460">
        <w:rPr>
          <w:rFonts w:ascii="Times New Roman" w:hAnsi="Times New Roman"/>
          <w:i/>
          <w:sz w:val="24"/>
          <w:szCs w:val="24"/>
        </w:rPr>
        <w:t>aryabhattai</w:t>
      </w:r>
      <w:proofErr w:type="spellEnd"/>
      <w:r w:rsidRPr="00A22460">
        <w:rPr>
          <w:rFonts w:ascii="Times New Roman" w:hAnsi="Times New Roman"/>
          <w:i/>
          <w:sz w:val="24"/>
          <w:szCs w:val="24"/>
        </w:rPr>
        <w:t xml:space="preserve"> </w:t>
      </w:r>
      <w:r w:rsidR="009F126F" w:rsidRPr="00A22460">
        <w:rPr>
          <w:rFonts w:ascii="Times New Roman" w:hAnsi="Times New Roman"/>
          <w:iCs/>
          <w:sz w:val="24"/>
          <w:szCs w:val="24"/>
        </w:rPr>
        <w:t>(</w:t>
      </w:r>
      <w:r w:rsidRPr="00A22460">
        <w:rPr>
          <w:rFonts w:ascii="Times New Roman" w:hAnsi="Times New Roman"/>
          <w:sz w:val="24"/>
          <w:szCs w:val="24"/>
        </w:rPr>
        <w:t xml:space="preserve">na dose de 2 </w:t>
      </w:r>
      <w:proofErr w:type="spellStart"/>
      <w:r w:rsidRPr="00A22460">
        <w:rPr>
          <w:rFonts w:ascii="Times New Roman" w:hAnsi="Times New Roman"/>
          <w:sz w:val="24"/>
          <w:szCs w:val="24"/>
        </w:rPr>
        <w:t>mL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 kg</w:t>
      </w:r>
      <w:r w:rsidRPr="00A22460">
        <w:rPr>
          <w:rFonts w:ascii="Times New Roman" w:hAnsi="Times New Roman"/>
          <w:sz w:val="24"/>
          <w:szCs w:val="24"/>
          <w:vertAlign w:val="superscript"/>
        </w:rPr>
        <w:t>-1</w:t>
      </w:r>
      <w:r w:rsidRPr="00A22460">
        <w:rPr>
          <w:rFonts w:ascii="Times New Roman" w:hAnsi="Times New Roman"/>
          <w:sz w:val="24"/>
          <w:szCs w:val="24"/>
        </w:rPr>
        <w:t xml:space="preserve"> de semente); </w:t>
      </w:r>
      <w:proofErr w:type="spellStart"/>
      <w:r w:rsidRPr="00A22460">
        <w:rPr>
          <w:rFonts w:ascii="Times New Roman" w:hAnsi="Times New Roman"/>
          <w:sz w:val="24"/>
          <w:szCs w:val="24"/>
        </w:rPr>
        <w:t>Bactrix</w:t>
      </w:r>
      <w:proofErr w:type="spellEnd"/>
      <w:r w:rsidRPr="00A22460">
        <w:rPr>
          <w:rFonts w:ascii="Times New Roman" w:hAnsi="Times New Roman"/>
          <w:sz w:val="24"/>
          <w:szCs w:val="24"/>
          <w:vertAlign w:val="superscript"/>
        </w:rPr>
        <w:t>®</w:t>
      </w:r>
      <w:r w:rsidRPr="00A22460">
        <w:rPr>
          <w:rFonts w:ascii="Times New Roman" w:hAnsi="Times New Roman"/>
          <w:sz w:val="24"/>
          <w:szCs w:val="24"/>
        </w:rPr>
        <w:t xml:space="preserve"> à base de </w:t>
      </w:r>
      <w:r w:rsidRPr="00A22460">
        <w:rPr>
          <w:rFonts w:ascii="Times New Roman" w:hAnsi="Times New Roman"/>
          <w:i/>
          <w:sz w:val="24"/>
          <w:szCs w:val="24"/>
        </w:rPr>
        <w:t xml:space="preserve">Bacillus </w:t>
      </w:r>
      <w:proofErr w:type="spellStart"/>
      <w:r w:rsidRPr="00A22460">
        <w:rPr>
          <w:rFonts w:ascii="Times New Roman" w:hAnsi="Times New Roman"/>
          <w:i/>
          <w:sz w:val="24"/>
          <w:szCs w:val="24"/>
        </w:rPr>
        <w:t>subtilis</w:t>
      </w:r>
      <w:proofErr w:type="spellEnd"/>
      <w:r w:rsidRPr="00A22460">
        <w:rPr>
          <w:rFonts w:ascii="Times New Roman" w:hAnsi="Times New Roman"/>
          <w:i/>
          <w:sz w:val="24"/>
          <w:szCs w:val="24"/>
        </w:rPr>
        <w:t xml:space="preserve"> </w:t>
      </w:r>
      <w:r w:rsidR="009F126F" w:rsidRPr="00A22460">
        <w:rPr>
          <w:rFonts w:ascii="Times New Roman" w:hAnsi="Times New Roman"/>
          <w:iCs/>
          <w:sz w:val="24"/>
          <w:szCs w:val="24"/>
        </w:rPr>
        <w:t>(</w:t>
      </w:r>
      <w:r w:rsidRPr="00A22460">
        <w:rPr>
          <w:rFonts w:ascii="Times New Roman" w:hAnsi="Times New Roman"/>
          <w:sz w:val="24"/>
          <w:szCs w:val="24"/>
        </w:rPr>
        <w:t xml:space="preserve">na dose de 2 </w:t>
      </w:r>
      <w:proofErr w:type="spellStart"/>
      <w:r w:rsidRPr="00A22460">
        <w:rPr>
          <w:rFonts w:ascii="Times New Roman" w:hAnsi="Times New Roman"/>
          <w:sz w:val="24"/>
          <w:szCs w:val="24"/>
        </w:rPr>
        <w:t>mL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 kg</w:t>
      </w:r>
      <w:r w:rsidRPr="00A22460">
        <w:rPr>
          <w:rFonts w:ascii="Times New Roman" w:hAnsi="Times New Roman"/>
          <w:sz w:val="24"/>
          <w:szCs w:val="24"/>
          <w:vertAlign w:val="superscript"/>
        </w:rPr>
        <w:t>-1</w:t>
      </w:r>
      <w:r w:rsidRPr="00A22460">
        <w:rPr>
          <w:rFonts w:ascii="Times New Roman" w:hAnsi="Times New Roman"/>
          <w:sz w:val="24"/>
          <w:szCs w:val="24"/>
        </w:rPr>
        <w:t xml:space="preserve"> de semente); e </w:t>
      </w:r>
      <w:proofErr w:type="spellStart"/>
      <w:r w:rsidRPr="00A22460">
        <w:rPr>
          <w:rFonts w:ascii="Times New Roman" w:hAnsi="Times New Roman"/>
          <w:sz w:val="24"/>
          <w:szCs w:val="24"/>
        </w:rPr>
        <w:t>Triene</w:t>
      </w:r>
      <w:proofErr w:type="spellEnd"/>
      <w:r w:rsidRPr="00A22460">
        <w:rPr>
          <w:rFonts w:ascii="Times New Roman" w:hAnsi="Times New Roman"/>
          <w:sz w:val="24"/>
          <w:szCs w:val="24"/>
          <w:vertAlign w:val="superscript"/>
        </w:rPr>
        <w:t>®</w:t>
      </w:r>
      <w:r w:rsidRPr="00A22460">
        <w:rPr>
          <w:rFonts w:ascii="Times New Roman" w:hAnsi="Times New Roman"/>
          <w:sz w:val="24"/>
          <w:szCs w:val="24"/>
        </w:rPr>
        <w:t xml:space="preserve"> à base de </w:t>
      </w:r>
      <w:proofErr w:type="spellStart"/>
      <w:r w:rsidRPr="00A22460">
        <w:rPr>
          <w:rFonts w:ascii="Times New Roman" w:hAnsi="Times New Roman"/>
          <w:i/>
          <w:sz w:val="24"/>
          <w:szCs w:val="24"/>
        </w:rPr>
        <w:t>Trichoderma</w:t>
      </w:r>
      <w:proofErr w:type="spellEnd"/>
      <w:r w:rsidRPr="00A2246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2460">
        <w:rPr>
          <w:rFonts w:ascii="Times New Roman" w:hAnsi="Times New Roman"/>
          <w:i/>
          <w:sz w:val="24"/>
          <w:szCs w:val="24"/>
        </w:rPr>
        <w:t>asperellum</w:t>
      </w:r>
      <w:proofErr w:type="spellEnd"/>
      <w:r w:rsidRPr="00A22460">
        <w:rPr>
          <w:rFonts w:ascii="Times New Roman" w:hAnsi="Times New Roman"/>
          <w:i/>
          <w:sz w:val="24"/>
          <w:szCs w:val="24"/>
        </w:rPr>
        <w:t xml:space="preserve"> </w:t>
      </w:r>
      <w:r w:rsidR="009F126F" w:rsidRPr="00A22460">
        <w:rPr>
          <w:rFonts w:ascii="Times New Roman" w:hAnsi="Times New Roman"/>
          <w:iCs/>
          <w:sz w:val="24"/>
          <w:szCs w:val="24"/>
        </w:rPr>
        <w:t>(</w:t>
      </w:r>
      <w:r w:rsidRPr="00A22460">
        <w:rPr>
          <w:rFonts w:ascii="Times New Roman" w:hAnsi="Times New Roman"/>
          <w:sz w:val="24"/>
          <w:szCs w:val="24"/>
        </w:rPr>
        <w:t xml:space="preserve">na dose de 2 </w:t>
      </w:r>
      <w:proofErr w:type="spellStart"/>
      <w:r w:rsidRPr="00A22460">
        <w:rPr>
          <w:rFonts w:ascii="Times New Roman" w:hAnsi="Times New Roman"/>
          <w:sz w:val="24"/>
          <w:szCs w:val="24"/>
        </w:rPr>
        <w:t>mL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 kg</w:t>
      </w:r>
      <w:r w:rsidRPr="00A22460">
        <w:rPr>
          <w:rFonts w:ascii="Times New Roman" w:hAnsi="Times New Roman"/>
          <w:sz w:val="24"/>
          <w:szCs w:val="24"/>
          <w:vertAlign w:val="superscript"/>
        </w:rPr>
        <w:t>-1</w:t>
      </w:r>
      <w:r w:rsidRPr="00A22460">
        <w:rPr>
          <w:rFonts w:ascii="Times New Roman" w:hAnsi="Times New Roman"/>
          <w:sz w:val="24"/>
          <w:szCs w:val="24"/>
        </w:rPr>
        <w:t xml:space="preserve"> de semente).</w:t>
      </w:r>
    </w:p>
    <w:p w14:paraId="4F428F1F" w14:textId="3B1009D3" w:rsidR="007845F5" w:rsidRPr="00A22460" w:rsidRDefault="007845F5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A22460">
        <w:rPr>
          <w:rFonts w:ascii="Times New Roman" w:hAnsi="Times New Roman"/>
          <w:sz w:val="24"/>
          <w:szCs w:val="24"/>
        </w:rPr>
        <w:t>Os tratamentos previstos</w:t>
      </w:r>
      <w:r w:rsidR="009F126F" w:rsidRPr="00A22460">
        <w:rPr>
          <w:rFonts w:ascii="Times New Roman" w:hAnsi="Times New Roman"/>
          <w:sz w:val="24"/>
          <w:szCs w:val="24"/>
        </w:rPr>
        <w:t xml:space="preserve"> com</w:t>
      </w:r>
      <w:r w:rsidRPr="00A22460">
        <w:rPr>
          <w:rFonts w:ascii="Times New Roman" w:hAnsi="Times New Roman"/>
          <w:sz w:val="24"/>
          <w:szCs w:val="24"/>
        </w:rPr>
        <w:t xml:space="preserve"> aplicações de bioestimulantes receberam uma dose de uma formulação de bioestimulantes via tratamento de sementes à base de extrato de alga (</w:t>
      </w:r>
      <w:proofErr w:type="spellStart"/>
      <w:r w:rsidRPr="00A22460">
        <w:rPr>
          <w:rFonts w:ascii="Times New Roman" w:hAnsi="Times New Roman"/>
          <w:i/>
          <w:sz w:val="24"/>
          <w:szCs w:val="24"/>
        </w:rPr>
        <w:t>Ascophyllum</w:t>
      </w:r>
      <w:proofErr w:type="spellEnd"/>
      <w:r w:rsidRPr="00A2246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2460">
        <w:rPr>
          <w:rFonts w:ascii="Times New Roman" w:hAnsi="Times New Roman"/>
          <w:i/>
          <w:sz w:val="24"/>
          <w:szCs w:val="24"/>
        </w:rPr>
        <w:t>nodusum</w:t>
      </w:r>
      <w:proofErr w:type="spellEnd"/>
      <w:r w:rsidRPr="00A22460">
        <w:rPr>
          <w:rFonts w:ascii="Times New Roman" w:hAnsi="Times New Roman"/>
          <w:i/>
          <w:sz w:val="24"/>
          <w:szCs w:val="24"/>
        </w:rPr>
        <w:t xml:space="preserve"> + </w:t>
      </w:r>
      <w:proofErr w:type="spellStart"/>
      <w:r w:rsidRPr="00A22460">
        <w:rPr>
          <w:rFonts w:ascii="Times New Roman" w:hAnsi="Times New Roman"/>
          <w:i/>
          <w:sz w:val="24"/>
          <w:szCs w:val="24"/>
        </w:rPr>
        <w:t>Kappaphycus</w:t>
      </w:r>
      <w:proofErr w:type="spellEnd"/>
      <w:r w:rsidRPr="00A2246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2460">
        <w:rPr>
          <w:rFonts w:ascii="Times New Roman" w:hAnsi="Times New Roman"/>
          <w:i/>
          <w:sz w:val="24"/>
          <w:szCs w:val="24"/>
        </w:rPr>
        <w:t>alvarezii</w:t>
      </w:r>
      <w:proofErr w:type="spellEnd"/>
      <w:r w:rsidRPr="00A22460">
        <w:rPr>
          <w:rFonts w:ascii="Times New Roman" w:hAnsi="Times New Roman"/>
          <w:sz w:val="24"/>
          <w:szCs w:val="24"/>
        </w:rPr>
        <w:t>) + complexo de aminoácidos contendo Prolina + arginina</w:t>
      </w:r>
      <w:r w:rsidR="009F126F" w:rsidRPr="00A22460">
        <w:rPr>
          <w:rFonts w:ascii="Times New Roman" w:hAnsi="Times New Roman"/>
          <w:sz w:val="24"/>
          <w:szCs w:val="24"/>
        </w:rPr>
        <w:t>,</w:t>
      </w:r>
      <w:r w:rsidRPr="00A22460">
        <w:rPr>
          <w:rFonts w:ascii="Times New Roman" w:hAnsi="Times New Roman"/>
          <w:sz w:val="24"/>
          <w:szCs w:val="24"/>
        </w:rPr>
        <w:t xml:space="preserve"> na dose de 2 </w:t>
      </w:r>
      <w:proofErr w:type="spellStart"/>
      <w:r w:rsidRPr="00A22460">
        <w:rPr>
          <w:rFonts w:ascii="Times New Roman" w:hAnsi="Times New Roman"/>
          <w:sz w:val="24"/>
          <w:szCs w:val="24"/>
        </w:rPr>
        <w:t>mL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 kg</w:t>
      </w:r>
      <w:r w:rsidRPr="00A22460">
        <w:rPr>
          <w:rFonts w:ascii="Times New Roman" w:hAnsi="Times New Roman"/>
          <w:sz w:val="24"/>
          <w:szCs w:val="24"/>
          <w:vertAlign w:val="superscript"/>
        </w:rPr>
        <w:t>-1</w:t>
      </w:r>
      <w:r w:rsidRPr="00A22460">
        <w:rPr>
          <w:rFonts w:ascii="Times New Roman" w:hAnsi="Times New Roman"/>
          <w:sz w:val="24"/>
          <w:szCs w:val="24"/>
        </w:rPr>
        <w:t xml:space="preserve"> de semente.</w:t>
      </w:r>
    </w:p>
    <w:p w14:paraId="39C5F0F4" w14:textId="77777777" w:rsidR="000A312E" w:rsidRDefault="00CC44AC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  <w:sectPr w:rsidR="000A312E" w:rsidSect="00665729">
          <w:headerReference w:type="first" r:id="rId15"/>
          <w:footerReference w:type="first" r:id="rId16"/>
          <w:type w:val="continuous"/>
          <w:pgSz w:w="11906" w:h="16838"/>
          <w:pgMar w:top="1701" w:right="1134" w:bottom="1701" w:left="1701" w:header="709" w:footer="709" w:gutter="0"/>
          <w:cols w:num="2" w:space="567"/>
          <w:titlePg/>
          <w:docGrid w:linePitch="360"/>
        </w:sectPr>
      </w:pPr>
      <w:r w:rsidRPr="00A22460">
        <w:rPr>
          <w:rFonts w:ascii="Times New Roman" w:hAnsi="Times New Roman"/>
          <w:sz w:val="24"/>
          <w:szCs w:val="24"/>
        </w:rPr>
        <w:t xml:space="preserve">A capacidade de retenção de água do solo (capacidade de campo - CC) foi determinada através da pesagem de todos os vasos com o solo seco e após o encharcamento e posterior drenagem. O controle da quantidade de água a ser aplicada em cada tratamento foi realizado através da pesagem diária dos vasos, utilizando balança eletrônica portátil, e a água perdida por </w:t>
      </w:r>
      <w:r w:rsidRPr="00A22460">
        <w:rPr>
          <w:rFonts w:ascii="Times New Roman" w:hAnsi="Times New Roman"/>
          <w:sz w:val="24"/>
          <w:szCs w:val="24"/>
        </w:rPr>
        <w:lastRenderedPageBreak/>
        <w:t xml:space="preserve">evapotranspiração era reposta até que o peso do vaso atingisse o valor previamente determinado (método gravimétrico). Os </w:t>
      </w:r>
      <w:r w:rsidRPr="00A22460">
        <w:rPr>
          <w:rFonts w:ascii="Times New Roman" w:hAnsi="Times New Roman"/>
          <w:sz w:val="24"/>
          <w:szCs w:val="24"/>
        </w:rPr>
        <w:t xml:space="preserve">dados de lâmina de reposição hídrica aplicados durante o ensaio estão descritos na </w:t>
      </w:r>
      <w:r w:rsidR="005C3603" w:rsidRPr="00A22460">
        <w:rPr>
          <w:rFonts w:ascii="Times New Roman" w:hAnsi="Times New Roman"/>
          <w:sz w:val="24"/>
          <w:szCs w:val="24"/>
        </w:rPr>
        <w:t xml:space="preserve">tabela </w:t>
      </w:r>
      <w:r w:rsidRPr="00A22460">
        <w:rPr>
          <w:rFonts w:ascii="Times New Roman" w:hAnsi="Times New Roman"/>
          <w:sz w:val="24"/>
          <w:szCs w:val="24"/>
        </w:rPr>
        <w:t>2.</w:t>
      </w:r>
    </w:p>
    <w:p w14:paraId="69F3E31B" w14:textId="719D4751" w:rsidR="00CC44AC" w:rsidRPr="00A22460" w:rsidRDefault="00CC44AC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483DBF8" w14:textId="5C2CC130" w:rsidR="00CC44AC" w:rsidRPr="00A22460" w:rsidRDefault="00CC44AC" w:rsidP="007E492C">
      <w:pPr>
        <w:spacing w:after="0"/>
        <w:ind w:left="992" w:hanging="992"/>
        <w:jc w:val="both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b/>
          <w:sz w:val="24"/>
          <w:szCs w:val="24"/>
        </w:rPr>
        <w:t>Tabela 2.</w:t>
      </w:r>
      <w:r w:rsidRPr="00A22460">
        <w:rPr>
          <w:rFonts w:ascii="Times New Roman" w:hAnsi="Times New Roman"/>
          <w:sz w:val="24"/>
          <w:szCs w:val="24"/>
        </w:rPr>
        <w:t xml:space="preserve"> Análise química e granulométrica do solo coletado para utilização na condução do ensaio, safra 2024, Rio Verde – GO</w:t>
      </w:r>
    </w:p>
    <w:tbl>
      <w:tblPr>
        <w:tblW w:w="8647" w:type="dxa"/>
        <w:jc w:val="center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861"/>
        <w:gridCol w:w="661"/>
        <w:gridCol w:w="661"/>
        <w:gridCol w:w="1006"/>
        <w:gridCol w:w="1097"/>
        <w:gridCol w:w="1279"/>
        <w:gridCol w:w="1368"/>
        <w:gridCol w:w="1714"/>
      </w:tblGrid>
      <w:tr w:rsidR="00A22460" w:rsidRPr="007E492C" w14:paraId="0BB98B99" w14:textId="77777777" w:rsidTr="000A312E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right w:val="nil"/>
            </w:tcBorders>
            <w:vAlign w:val="center"/>
          </w:tcPr>
          <w:p w14:paraId="10E7C17E" w14:textId="28B479CC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RH</w:t>
            </w:r>
            <w:r w:rsidR="00ED47AA" w:rsidRPr="007E492C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pt-BR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5F6B34D" w14:textId="7280C8DF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CC</w:t>
            </w:r>
            <w:r w:rsidR="00ED47AA" w:rsidRPr="007E492C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pt-BR"/>
              </w:rPr>
              <w:t>**</w:t>
            </w:r>
          </w:p>
        </w:tc>
        <w:tc>
          <w:tcPr>
            <w:tcW w:w="628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449511E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Lâmina total</w:t>
            </w:r>
          </w:p>
        </w:tc>
      </w:tr>
      <w:tr w:rsidR="00A22460" w:rsidRPr="007E492C" w14:paraId="64D7600B" w14:textId="77777777" w:rsidTr="000A312E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2D19B0" w14:textId="77777777" w:rsidR="00D7350A" w:rsidRPr="007E492C" w:rsidRDefault="00D7350A" w:rsidP="00AA5D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53F5C1E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BDA2F3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820F2A9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L dia</w:t>
            </w:r>
            <w:r w:rsidRPr="007E492C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pt-BR"/>
              </w:rPr>
              <w:t>-1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0A0195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L mês</w:t>
            </w:r>
            <w:r w:rsidRPr="007E492C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pt-BR"/>
              </w:rPr>
              <w:t>-1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EB6FD9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mm dia</w:t>
            </w:r>
            <w:r w:rsidRPr="007E492C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pt-BR"/>
              </w:rPr>
              <w:t>-1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2E8C95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mm mês</w:t>
            </w:r>
            <w:r w:rsidRPr="007E492C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pt-BR"/>
              </w:rPr>
              <w:t>-1</w:t>
            </w: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D4052D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mm ciclo</w:t>
            </w:r>
            <w:r w:rsidRPr="007E492C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pt-BR"/>
              </w:rPr>
              <w:t>-1</w:t>
            </w:r>
          </w:p>
        </w:tc>
      </w:tr>
      <w:tr w:rsidR="00A22460" w:rsidRPr="007E492C" w14:paraId="5AB2967B" w14:textId="77777777" w:rsidTr="000A312E">
        <w:trPr>
          <w:jc w:val="center"/>
        </w:trPr>
        <w:tc>
          <w:tcPr>
            <w:tcW w:w="0" w:type="auto"/>
            <w:tcBorders>
              <w:top w:val="single" w:sz="4" w:space="0" w:color="000000"/>
              <w:right w:val="nil"/>
            </w:tcBorders>
            <w:vAlign w:val="center"/>
          </w:tcPr>
          <w:p w14:paraId="358C77E3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25%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68E01CE6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0,35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78C190CC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</w:tcBorders>
            <w:vAlign w:val="center"/>
          </w:tcPr>
          <w:p w14:paraId="34DCDBDE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0,125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14:paraId="17EBB3EF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14:paraId="48629AF6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2,5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14:paraId="09DF9F9E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1574" w:type="dxa"/>
            <w:tcBorders>
              <w:top w:val="single" w:sz="4" w:space="0" w:color="000000"/>
            </w:tcBorders>
            <w:vAlign w:val="center"/>
          </w:tcPr>
          <w:p w14:paraId="62FB387A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250</w:t>
            </w:r>
          </w:p>
        </w:tc>
      </w:tr>
      <w:tr w:rsidR="00A22460" w:rsidRPr="007E492C" w14:paraId="61DB3E66" w14:textId="77777777" w:rsidTr="000A312E">
        <w:trPr>
          <w:jc w:val="center"/>
        </w:trPr>
        <w:tc>
          <w:tcPr>
            <w:tcW w:w="0" w:type="auto"/>
            <w:tcBorders>
              <w:right w:val="nil"/>
            </w:tcBorders>
            <w:vAlign w:val="center"/>
          </w:tcPr>
          <w:p w14:paraId="1043D7AF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50%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15B616BD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0,70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0593130D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764E8AA6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0,250</w:t>
            </w:r>
          </w:p>
        </w:tc>
        <w:tc>
          <w:tcPr>
            <w:tcW w:w="0" w:type="auto"/>
            <w:vAlign w:val="center"/>
          </w:tcPr>
          <w:p w14:paraId="3E29F399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0" w:type="auto"/>
            <w:vAlign w:val="center"/>
          </w:tcPr>
          <w:p w14:paraId="6A7300A2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0" w:type="auto"/>
            <w:vAlign w:val="center"/>
          </w:tcPr>
          <w:p w14:paraId="58EC2EB3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1574" w:type="dxa"/>
            <w:vAlign w:val="center"/>
          </w:tcPr>
          <w:p w14:paraId="77C87FC9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500</w:t>
            </w:r>
          </w:p>
        </w:tc>
      </w:tr>
      <w:tr w:rsidR="00A22460" w:rsidRPr="007E492C" w14:paraId="34E8C643" w14:textId="77777777" w:rsidTr="000A312E">
        <w:trPr>
          <w:jc w:val="center"/>
        </w:trPr>
        <w:tc>
          <w:tcPr>
            <w:tcW w:w="0" w:type="auto"/>
            <w:tcBorders>
              <w:right w:val="nil"/>
            </w:tcBorders>
            <w:vAlign w:val="center"/>
          </w:tcPr>
          <w:p w14:paraId="32F5BCFA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75%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185F8835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1,05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23F91460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258F666B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0,375</w:t>
            </w:r>
          </w:p>
        </w:tc>
        <w:tc>
          <w:tcPr>
            <w:tcW w:w="0" w:type="auto"/>
            <w:vAlign w:val="center"/>
          </w:tcPr>
          <w:p w14:paraId="0958CB8D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0" w:type="auto"/>
            <w:vAlign w:val="center"/>
          </w:tcPr>
          <w:p w14:paraId="2E8587F0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7,5</w:t>
            </w:r>
          </w:p>
        </w:tc>
        <w:tc>
          <w:tcPr>
            <w:tcW w:w="0" w:type="auto"/>
            <w:vAlign w:val="center"/>
          </w:tcPr>
          <w:p w14:paraId="53BCC001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225</w:t>
            </w:r>
          </w:p>
        </w:tc>
        <w:tc>
          <w:tcPr>
            <w:tcW w:w="1574" w:type="dxa"/>
            <w:vAlign w:val="center"/>
          </w:tcPr>
          <w:p w14:paraId="0B1EBA96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750</w:t>
            </w:r>
          </w:p>
        </w:tc>
      </w:tr>
      <w:tr w:rsidR="00A22460" w:rsidRPr="007E492C" w14:paraId="59CCD298" w14:textId="77777777" w:rsidTr="000A312E">
        <w:trPr>
          <w:jc w:val="center"/>
        </w:trPr>
        <w:tc>
          <w:tcPr>
            <w:tcW w:w="0" w:type="auto"/>
            <w:tcBorders>
              <w:bottom w:val="single" w:sz="4" w:space="0" w:color="000000"/>
              <w:right w:val="nil"/>
            </w:tcBorders>
            <w:vAlign w:val="center"/>
          </w:tcPr>
          <w:p w14:paraId="610AD3E7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100%</w:t>
            </w:r>
          </w:p>
        </w:tc>
        <w:tc>
          <w:tcPr>
            <w:tcW w:w="0" w:type="auto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7701D68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1,40</w:t>
            </w:r>
          </w:p>
        </w:tc>
        <w:tc>
          <w:tcPr>
            <w:tcW w:w="0" w:type="auto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3250C7A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0" w:type="auto"/>
            <w:tcBorders>
              <w:left w:val="nil"/>
              <w:bottom w:val="single" w:sz="4" w:space="0" w:color="000000"/>
            </w:tcBorders>
            <w:vAlign w:val="center"/>
          </w:tcPr>
          <w:p w14:paraId="5F5C7B29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0,500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79EDC1BC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312E5471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596A325D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1574" w:type="dxa"/>
            <w:tcBorders>
              <w:bottom w:val="single" w:sz="4" w:space="0" w:color="000000"/>
            </w:tcBorders>
            <w:vAlign w:val="center"/>
          </w:tcPr>
          <w:p w14:paraId="5A1B0648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1000</w:t>
            </w:r>
          </w:p>
        </w:tc>
      </w:tr>
      <w:tr w:rsidR="00A22460" w:rsidRPr="007E492C" w14:paraId="0EE3B57F" w14:textId="77777777" w:rsidTr="000A312E">
        <w:trPr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21B7F447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Média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</w:tcBorders>
            <w:vAlign w:val="center"/>
          </w:tcPr>
          <w:p w14:paraId="29230037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0,85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3ECC0F34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17,5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</w:tcBorders>
            <w:vAlign w:val="center"/>
          </w:tcPr>
          <w:p w14:paraId="357013D6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0,312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B5B955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22,5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93BB63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6,25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887FB6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187,5</w:t>
            </w: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982C2D" w14:textId="77777777" w:rsidR="00D7350A" w:rsidRPr="007E492C" w:rsidRDefault="00D7350A" w:rsidP="00AA5D6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492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625</w:t>
            </w:r>
          </w:p>
        </w:tc>
      </w:tr>
    </w:tbl>
    <w:p w14:paraId="47FEA49C" w14:textId="7BD5F3A4" w:rsidR="00ED47AA" w:rsidRPr="00A22460" w:rsidRDefault="00ED47AA" w:rsidP="00AA5D6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22460">
        <w:rPr>
          <w:rFonts w:ascii="Times New Roman" w:hAnsi="Times New Roman"/>
          <w:sz w:val="20"/>
          <w:szCs w:val="20"/>
          <w:vertAlign w:val="superscript"/>
        </w:rPr>
        <w:t>*</w:t>
      </w:r>
      <w:r w:rsidRPr="00A22460">
        <w:rPr>
          <w:rFonts w:ascii="Times New Roman" w:hAnsi="Times New Roman"/>
          <w:sz w:val="20"/>
          <w:szCs w:val="20"/>
        </w:rPr>
        <w:t xml:space="preserve">RH – Reposição hídrica; </w:t>
      </w:r>
      <w:r w:rsidRPr="00A22460">
        <w:rPr>
          <w:rFonts w:ascii="Times New Roman" w:hAnsi="Times New Roman"/>
          <w:sz w:val="20"/>
          <w:szCs w:val="20"/>
          <w:vertAlign w:val="superscript"/>
        </w:rPr>
        <w:t>**</w:t>
      </w:r>
      <w:r w:rsidRPr="00A22460">
        <w:rPr>
          <w:rFonts w:ascii="Times New Roman" w:hAnsi="Times New Roman"/>
          <w:sz w:val="20"/>
          <w:szCs w:val="20"/>
        </w:rPr>
        <w:t>CC – Capacidade de campo.</w:t>
      </w:r>
    </w:p>
    <w:p w14:paraId="33A2885A" w14:textId="7FE5A694" w:rsidR="00CC44AC" w:rsidRPr="00A22460" w:rsidRDefault="00CC44AC" w:rsidP="00AA5D6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22460">
        <w:rPr>
          <w:rFonts w:ascii="Times New Roman" w:hAnsi="Times New Roman"/>
          <w:b/>
          <w:bCs/>
          <w:sz w:val="20"/>
          <w:szCs w:val="20"/>
        </w:rPr>
        <w:t>Fonte:</w:t>
      </w:r>
      <w:r w:rsidRPr="00A22460">
        <w:rPr>
          <w:rFonts w:ascii="Times New Roman" w:hAnsi="Times New Roman"/>
          <w:sz w:val="20"/>
          <w:szCs w:val="20"/>
        </w:rPr>
        <w:t xml:space="preserve"> Autores (202</w:t>
      </w:r>
      <w:r w:rsidR="00D46659" w:rsidRPr="00A22460">
        <w:rPr>
          <w:rFonts w:ascii="Times New Roman" w:hAnsi="Times New Roman"/>
          <w:sz w:val="20"/>
          <w:szCs w:val="20"/>
        </w:rPr>
        <w:t>5</w:t>
      </w:r>
      <w:r w:rsidRPr="00A22460">
        <w:rPr>
          <w:rFonts w:ascii="Times New Roman" w:hAnsi="Times New Roman"/>
          <w:sz w:val="20"/>
          <w:szCs w:val="20"/>
        </w:rPr>
        <w:t>)</w:t>
      </w:r>
    </w:p>
    <w:p w14:paraId="71CA67CD" w14:textId="77777777" w:rsidR="00D40BA2" w:rsidRPr="00A22460" w:rsidRDefault="00D40BA2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D1558A2" w14:textId="77777777" w:rsidR="000A312E" w:rsidRDefault="000A312E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  <w:sectPr w:rsidR="000A312E" w:rsidSect="000A312E">
          <w:type w:val="continuous"/>
          <w:pgSz w:w="11906" w:h="16838"/>
          <w:pgMar w:top="1701" w:right="1134" w:bottom="1701" w:left="1701" w:header="720" w:footer="720" w:gutter="0"/>
          <w:cols w:space="720"/>
          <w:titlePg/>
          <w:docGrid w:linePitch="360"/>
        </w:sectPr>
      </w:pPr>
    </w:p>
    <w:p w14:paraId="6D596B1A" w14:textId="79B9844C" w:rsidR="006D6AE8" w:rsidRPr="00A22460" w:rsidRDefault="009B7BFC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>Quando as plântulas de feijão estavam com 7 dias após o plantio (DAP) foi realizado o desbaste de plântulas deixando 2 plantas por vaso e foi iniciad</w:t>
      </w:r>
      <w:r w:rsidR="005C3603" w:rsidRPr="00A22460">
        <w:rPr>
          <w:rFonts w:ascii="Times New Roman" w:hAnsi="Times New Roman"/>
          <w:sz w:val="24"/>
          <w:szCs w:val="24"/>
        </w:rPr>
        <w:t>a</w:t>
      </w:r>
      <w:r w:rsidRPr="00A22460">
        <w:rPr>
          <w:rFonts w:ascii="Times New Roman" w:hAnsi="Times New Roman"/>
          <w:sz w:val="24"/>
          <w:szCs w:val="24"/>
        </w:rPr>
        <w:t xml:space="preserve"> a aplicação dos tratamentos de reposição hídrica.</w:t>
      </w:r>
    </w:p>
    <w:p w14:paraId="0DB5A2AB" w14:textId="3058C85A" w:rsidR="006D6AE8" w:rsidRPr="00A22460" w:rsidRDefault="006D6AE8" w:rsidP="00AA5D6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22460">
        <w:rPr>
          <w:rFonts w:ascii="Times New Roman" w:eastAsia="Times New Roman" w:hAnsi="Times New Roman"/>
          <w:sz w:val="24"/>
          <w:szCs w:val="24"/>
          <w:lang w:eastAsia="pt-BR"/>
        </w:rPr>
        <w:t>A coleta de dados biométricos ocorreu com 30 DAE. Foram determinadas as seguintes variáveis: altura de planta (AP), diâmetro de caule (DC), número de f</w:t>
      </w:r>
      <w:r w:rsidR="00F573FC" w:rsidRPr="00A22460">
        <w:rPr>
          <w:rFonts w:ascii="Times New Roman" w:eastAsia="Times New Roman" w:hAnsi="Times New Roman"/>
          <w:sz w:val="24"/>
          <w:szCs w:val="24"/>
          <w:lang w:eastAsia="pt-BR"/>
        </w:rPr>
        <w:t>olhas</w:t>
      </w:r>
      <w:r w:rsidRPr="00A22460">
        <w:rPr>
          <w:rFonts w:ascii="Times New Roman" w:eastAsia="Times New Roman" w:hAnsi="Times New Roman"/>
          <w:sz w:val="24"/>
          <w:szCs w:val="24"/>
          <w:lang w:eastAsia="pt-BR"/>
        </w:rPr>
        <w:t xml:space="preserve"> (NF) e área foliar (AF).</w:t>
      </w:r>
    </w:p>
    <w:p w14:paraId="642A2749" w14:textId="595FFDC1" w:rsidR="006D6AE8" w:rsidRPr="00A22460" w:rsidRDefault="006D6AE8" w:rsidP="00AA5D6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22460">
        <w:rPr>
          <w:rFonts w:ascii="Times New Roman" w:eastAsia="Times New Roman" w:hAnsi="Times New Roman"/>
          <w:sz w:val="24"/>
          <w:szCs w:val="24"/>
          <w:lang w:eastAsia="pt-BR"/>
        </w:rPr>
        <w:t>Foram amostradas 2 plantas (Duplicata), a altura de planta, expressa em centímetros, foi avaliada considerando-se o comprimento da haste principal do coleto até o último nó (ápice da planta) e o diâmetro do caule, expresso em milímetros, foi mensurado na altura do coleto da planta com um paquímetro digital. Contou-se o número de folhas emitidos na haste principal.</w:t>
      </w:r>
    </w:p>
    <w:p w14:paraId="70BFF7E8" w14:textId="2B54B24E" w:rsidR="006D6AE8" w:rsidRPr="00A22460" w:rsidRDefault="006D6AE8" w:rsidP="00AA5D6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22460">
        <w:rPr>
          <w:rFonts w:ascii="Times New Roman" w:eastAsia="Times New Roman" w:hAnsi="Times New Roman"/>
          <w:kern w:val="2"/>
          <w:sz w:val="24"/>
          <w:szCs w:val="24"/>
          <w:lang w:bidi="hi-IN"/>
        </w:rPr>
        <w:t>A determinação da área foliar (cm</w:t>
      </w:r>
      <w:r w:rsidRPr="00A22460">
        <w:rPr>
          <w:rFonts w:ascii="Times New Roman" w:eastAsia="Times New Roman" w:hAnsi="Times New Roman"/>
          <w:kern w:val="2"/>
          <w:sz w:val="24"/>
          <w:szCs w:val="24"/>
          <w:vertAlign w:val="superscript"/>
          <w:lang w:bidi="hi-IN"/>
        </w:rPr>
        <w:t>2</w:t>
      </w:r>
      <w:r w:rsidRPr="00A22460">
        <w:rPr>
          <w:rFonts w:ascii="Times New Roman" w:eastAsia="Times New Roman" w:hAnsi="Times New Roman"/>
          <w:kern w:val="2"/>
          <w:sz w:val="24"/>
          <w:szCs w:val="24"/>
          <w:lang w:bidi="hi-IN"/>
        </w:rPr>
        <w:t xml:space="preserve">) foi realizada através da mensuração do maior comprimento e maior largura de todos </w:t>
      </w:r>
      <w:r w:rsidR="00F573FC" w:rsidRPr="00A22460">
        <w:rPr>
          <w:rFonts w:ascii="Times New Roman" w:eastAsia="Times New Roman" w:hAnsi="Times New Roman"/>
          <w:kern w:val="2"/>
          <w:sz w:val="24"/>
          <w:szCs w:val="24"/>
          <w:lang w:bidi="hi-IN"/>
        </w:rPr>
        <w:t xml:space="preserve">as </w:t>
      </w:r>
      <w:r w:rsidR="00F573FC" w:rsidRPr="00A22460">
        <w:rPr>
          <w:rFonts w:ascii="Times New Roman" w:eastAsia="Times New Roman" w:hAnsi="Times New Roman"/>
          <w:sz w:val="24"/>
          <w:szCs w:val="24"/>
          <w:lang w:eastAsia="pt-BR"/>
        </w:rPr>
        <w:t>folhas</w:t>
      </w:r>
      <w:r w:rsidRPr="00A22460">
        <w:rPr>
          <w:rFonts w:ascii="Times New Roman" w:eastAsia="Times New Roman" w:hAnsi="Times New Roman"/>
          <w:kern w:val="2"/>
          <w:sz w:val="24"/>
          <w:szCs w:val="24"/>
          <w:lang w:bidi="hi-IN"/>
        </w:rPr>
        <w:t xml:space="preserve">, posteriormente, os dados coletados foram aplicados na equação empírica proposta por Adami </w:t>
      </w:r>
      <w:r w:rsidRPr="00A22460">
        <w:rPr>
          <w:rFonts w:ascii="Times New Roman" w:eastAsia="Times New Roman" w:hAnsi="Times New Roman"/>
          <w:i/>
          <w:iCs/>
          <w:kern w:val="2"/>
          <w:sz w:val="24"/>
          <w:szCs w:val="24"/>
          <w:lang w:bidi="hi-IN"/>
        </w:rPr>
        <w:t>et al.</w:t>
      </w:r>
      <w:r w:rsidRPr="00A22460">
        <w:rPr>
          <w:rFonts w:ascii="Times New Roman" w:eastAsia="Times New Roman" w:hAnsi="Times New Roman"/>
          <w:kern w:val="2"/>
          <w:sz w:val="24"/>
          <w:szCs w:val="24"/>
          <w:lang w:bidi="hi-IN"/>
        </w:rPr>
        <w:t xml:space="preserve"> (2008) (Equação 1), as estimativas da área foliar de cada folha foram somadas, obtendo-se a área foliar por planta em cm².</w:t>
      </w:r>
    </w:p>
    <w:p w14:paraId="0F967D77" w14:textId="77777777" w:rsidR="006D6AE8" w:rsidRPr="00A22460" w:rsidRDefault="006D6AE8" w:rsidP="00AA5D66">
      <w:pPr>
        <w:widowControl w:val="0"/>
        <w:spacing w:after="0"/>
        <w:rPr>
          <w:rFonts w:ascii="Times New Roman" w:eastAsia="Times New Roman" w:hAnsi="Times New Roman"/>
          <w:kern w:val="2"/>
          <w:sz w:val="24"/>
          <w:szCs w:val="24"/>
          <w:lang w:bidi="hi-IN"/>
        </w:rPr>
      </w:pPr>
    </w:p>
    <w:p w14:paraId="1B57ED37" w14:textId="2C4C782A" w:rsidR="006D6AE8" w:rsidRPr="00A22460" w:rsidRDefault="006D6AE8" w:rsidP="00AA5D66">
      <w:pPr>
        <w:widowControl w:val="0"/>
        <w:spacing w:after="0"/>
        <w:rPr>
          <w:rFonts w:ascii="Times New Roman" w:eastAsia="Times New Roman" w:hAnsi="Times New Roman"/>
          <w:kern w:val="2"/>
          <w:sz w:val="24"/>
          <w:szCs w:val="24"/>
          <w:lang w:bidi="hi-IN"/>
        </w:rPr>
      </w:pPr>
      <w:r w:rsidRPr="00A22460">
        <w:rPr>
          <w:rFonts w:ascii="Times New Roman" w:eastAsia="Times New Roman" w:hAnsi="Times New Roman"/>
          <w:kern w:val="2"/>
          <w:sz w:val="24"/>
          <w:szCs w:val="24"/>
          <w:lang w:bidi="hi-IN"/>
        </w:rPr>
        <w:t>AF = (C x L) x 0,7104 x NF</w:t>
      </w:r>
      <w:r w:rsidR="000324A8" w:rsidRPr="00A22460">
        <w:rPr>
          <w:rFonts w:ascii="Times New Roman" w:eastAsia="Times New Roman" w:hAnsi="Times New Roman"/>
          <w:kern w:val="2"/>
          <w:sz w:val="24"/>
          <w:szCs w:val="24"/>
          <w:lang w:bidi="hi-IN"/>
        </w:rPr>
        <w:tab/>
      </w:r>
      <w:r w:rsidR="000324A8" w:rsidRPr="00A22460">
        <w:rPr>
          <w:rFonts w:ascii="Times New Roman" w:eastAsia="Times New Roman" w:hAnsi="Times New Roman"/>
          <w:kern w:val="2"/>
          <w:sz w:val="24"/>
          <w:szCs w:val="24"/>
          <w:lang w:bidi="hi-IN"/>
        </w:rPr>
        <w:tab/>
      </w:r>
      <w:r w:rsidR="00321B44">
        <w:rPr>
          <w:rFonts w:ascii="Times New Roman" w:eastAsia="Times New Roman" w:hAnsi="Times New Roman"/>
          <w:kern w:val="2"/>
          <w:sz w:val="24"/>
          <w:szCs w:val="24"/>
          <w:lang w:bidi="hi-IN"/>
        </w:rPr>
        <w:t xml:space="preserve">    </w:t>
      </w:r>
      <w:proofErr w:type="gramStart"/>
      <w:r w:rsidR="00321B44">
        <w:rPr>
          <w:rFonts w:ascii="Times New Roman" w:eastAsia="Times New Roman" w:hAnsi="Times New Roman"/>
          <w:kern w:val="2"/>
          <w:sz w:val="24"/>
          <w:szCs w:val="24"/>
          <w:lang w:bidi="hi-IN"/>
        </w:rPr>
        <w:t xml:space="preserve">  </w:t>
      </w:r>
      <w:r w:rsidRPr="00A22460">
        <w:rPr>
          <w:rFonts w:ascii="Times New Roman" w:eastAsia="Times New Roman" w:hAnsi="Times New Roman"/>
          <w:kern w:val="2"/>
          <w:sz w:val="24"/>
          <w:szCs w:val="24"/>
          <w:lang w:bidi="hi-IN"/>
        </w:rPr>
        <w:t xml:space="preserve"> (</w:t>
      </w:r>
      <w:proofErr w:type="gramEnd"/>
      <w:r w:rsidRPr="00A22460">
        <w:rPr>
          <w:rFonts w:ascii="Times New Roman" w:eastAsia="Times New Roman" w:hAnsi="Times New Roman"/>
          <w:kern w:val="2"/>
          <w:sz w:val="24"/>
          <w:szCs w:val="24"/>
          <w:lang w:bidi="hi-IN"/>
        </w:rPr>
        <w:t>1)</w:t>
      </w:r>
    </w:p>
    <w:p w14:paraId="5DAFD3BE" w14:textId="0329C2F9" w:rsidR="000324A8" w:rsidRDefault="000324A8" w:rsidP="00AA5D66">
      <w:pPr>
        <w:widowControl w:val="0"/>
        <w:spacing w:after="0"/>
        <w:rPr>
          <w:rFonts w:ascii="Times New Roman" w:eastAsia="Times New Roman" w:hAnsi="Times New Roman"/>
          <w:kern w:val="2"/>
          <w:sz w:val="24"/>
          <w:szCs w:val="24"/>
          <w:lang w:bidi="hi-IN"/>
        </w:rPr>
      </w:pPr>
    </w:p>
    <w:p w14:paraId="74298546" w14:textId="77777777" w:rsidR="00382C03" w:rsidRPr="00A22460" w:rsidRDefault="00382C03" w:rsidP="00AA5D66">
      <w:pPr>
        <w:widowControl w:val="0"/>
        <w:spacing w:after="0"/>
        <w:rPr>
          <w:rFonts w:ascii="Times New Roman" w:eastAsia="Times New Roman" w:hAnsi="Times New Roman"/>
          <w:kern w:val="2"/>
          <w:sz w:val="24"/>
          <w:szCs w:val="24"/>
          <w:lang w:bidi="hi-IN"/>
        </w:rPr>
      </w:pPr>
    </w:p>
    <w:p w14:paraId="17340630" w14:textId="6901E648" w:rsidR="006D6AE8" w:rsidRPr="00A22460" w:rsidRDefault="006D6AE8" w:rsidP="00AA5D66">
      <w:pPr>
        <w:widowControl w:val="0"/>
        <w:spacing w:after="0"/>
        <w:rPr>
          <w:rFonts w:ascii="Times New Roman" w:eastAsia="Times New Roman" w:hAnsi="Times New Roman"/>
          <w:kern w:val="2"/>
          <w:sz w:val="24"/>
          <w:szCs w:val="24"/>
          <w:lang w:bidi="hi-IN"/>
        </w:rPr>
      </w:pPr>
      <w:r w:rsidRPr="00A22460">
        <w:rPr>
          <w:rFonts w:ascii="Times New Roman" w:eastAsia="Times New Roman" w:hAnsi="Times New Roman"/>
          <w:kern w:val="2"/>
          <w:sz w:val="24"/>
          <w:szCs w:val="24"/>
          <w:lang w:bidi="hi-IN"/>
        </w:rPr>
        <w:t>Em que</w:t>
      </w:r>
      <w:r w:rsidR="005C3603" w:rsidRPr="00A22460">
        <w:rPr>
          <w:rFonts w:ascii="Times New Roman" w:eastAsia="Times New Roman" w:hAnsi="Times New Roman"/>
          <w:kern w:val="2"/>
          <w:sz w:val="24"/>
          <w:szCs w:val="24"/>
          <w:lang w:bidi="hi-IN"/>
        </w:rPr>
        <w:t>:</w:t>
      </w:r>
    </w:p>
    <w:p w14:paraId="41DE238C" w14:textId="77777777" w:rsidR="006D6AE8" w:rsidRPr="00A22460" w:rsidRDefault="006D6AE8" w:rsidP="00AA5D66">
      <w:pPr>
        <w:widowControl w:val="0"/>
        <w:spacing w:after="0"/>
        <w:rPr>
          <w:rFonts w:ascii="Times New Roman" w:eastAsia="Times New Roman" w:hAnsi="Times New Roman"/>
          <w:kern w:val="2"/>
          <w:sz w:val="24"/>
          <w:szCs w:val="24"/>
          <w:lang w:bidi="hi-IN"/>
        </w:rPr>
      </w:pPr>
      <w:r w:rsidRPr="00A22460">
        <w:rPr>
          <w:rFonts w:ascii="Times New Roman" w:eastAsia="Times New Roman" w:hAnsi="Times New Roman"/>
          <w:kern w:val="2"/>
          <w:sz w:val="24"/>
          <w:szCs w:val="24"/>
          <w:lang w:bidi="hi-IN"/>
        </w:rPr>
        <w:t>C – Comprimento máximo (cm);</w:t>
      </w:r>
    </w:p>
    <w:p w14:paraId="02068FF9" w14:textId="77777777" w:rsidR="006D6AE8" w:rsidRPr="00A22460" w:rsidRDefault="006D6AE8" w:rsidP="00AA5D66">
      <w:pPr>
        <w:widowControl w:val="0"/>
        <w:spacing w:after="0"/>
        <w:rPr>
          <w:rFonts w:ascii="Times New Roman" w:eastAsia="Times New Roman" w:hAnsi="Times New Roman"/>
          <w:kern w:val="2"/>
          <w:sz w:val="24"/>
          <w:szCs w:val="24"/>
          <w:lang w:bidi="hi-IN"/>
        </w:rPr>
      </w:pPr>
      <w:r w:rsidRPr="00A22460">
        <w:rPr>
          <w:rFonts w:ascii="Times New Roman" w:eastAsia="Times New Roman" w:hAnsi="Times New Roman"/>
          <w:kern w:val="2"/>
          <w:sz w:val="24"/>
          <w:szCs w:val="24"/>
          <w:lang w:bidi="hi-IN"/>
        </w:rPr>
        <w:t>L – Largura máxima (cm);</w:t>
      </w:r>
    </w:p>
    <w:p w14:paraId="50CDFC54" w14:textId="6B59540D" w:rsidR="006D6AE8" w:rsidRPr="00A22460" w:rsidRDefault="006D6AE8" w:rsidP="00AA5D66">
      <w:pPr>
        <w:widowControl w:val="0"/>
        <w:spacing w:after="0"/>
        <w:rPr>
          <w:rFonts w:ascii="Times New Roman" w:eastAsia="Times New Roman" w:hAnsi="Times New Roman"/>
          <w:kern w:val="2"/>
          <w:sz w:val="24"/>
          <w:szCs w:val="24"/>
          <w:lang w:bidi="hi-IN"/>
        </w:rPr>
      </w:pPr>
      <w:r w:rsidRPr="00A22460">
        <w:rPr>
          <w:rFonts w:ascii="Times New Roman" w:eastAsia="Times New Roman" w:hAnsi="Times New Roman"/>
          <w:kern w:val="2"/>
          <w:sz w:val="24"/>
          <w:szCs w:val="24"/>
          <w:lang w:bidi="hi-IN"/>
        </w:rPr>
        <w:t xml:space="preserve">NF – Número de </w:t>
      </w:r>
      <w:r w:rsidR="00F573FC" w:rsidRPr="00A22460">
        <w:rPr>
          <w:rFonts w:ascii="Times New Roman" w:eastAsia="Times New Roman" w:hAnsi="Times New Roman"/>
          <w:sz w:val="24"/>
          <w:szCs w:val="24"/>
          <w:lang w:eastAsia="pt-BR"/>
        </w:rPr>
        <w:t>folhas</w:t>
      </w:r>
      <w:r w:rsidRPr="00A22460">
        <w:rPr>
          <w:rFonts w:ascii="Times New Roman" w:eastAsia="Times New Roman" w:hAnsi="Times New Roman"/>
          <w:kern w:val="2"/>
          <w:sz w:val="24"/>
          <w:szCs w:val="24"/>
          <w:lang w:bidi="hi-IN"/>
        </w:rPr>
        <w:t xml:space="preserve"> (Adimensional).</w:t>
      </w:r>
    </w:p>
    <w:p w14:paraId="7EDDB1DB" w14:textId="77777777" w:rsidR="00A616F4" w:rsidRPr="00A22460" w:rsidRDefault="00A616F4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CAA9190" w14:textId="72DCC124" w:rsidR="000324A8" w:rsidRPr="00A22460" w:rsidRDefault="000324A8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>Os dados coletados foram submetidos a análise estatística, incluindo análise de variância pelo teste F (</w:t>
      </w:r>
      <w:r w:rsidRPr="00A22460">
        <w:rPr>
          <w:rFonts w:ascii="Times New Roman" w:hAnsi="Times New Roman"/>
          <w:i/>
          <w:sz w:val="24"/>
          <w:szCs w:val="24"/>
        </w:rPr>
        <w:t>p&lt;0,05</w:t>
      </w:r>
      <w:r w:rsidRPr="00A22460">
        <w:rPr>
          <w:rFonts w:ascii="Times New Roman" w:hAnsi="Times New Roman"/>
          <w:sz w:val="24"/>
          <w:szCs w:val="24"/>
        </w:rPr>
        <w:t xml:space="preserve">), e os casos de significância foram submetidos ao teste de média </w:t>
      </w:r>
      <w:proofErr w:type="spellStart"/>
      <w:r w:rsidRPr="00A22460">
        <w:rPr>
          <w:rFonts w:ascii="Times New Roman" w:hAnsi="Times New Roman"/>
          <w:sz w:val="24"/>
          <w:szCs w:val="24"/>
        </w:rPr>
        <w:t>Tukey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 (</w:t>
      </w:r>
      <w:r w:rsidRPr="00A22460">
        <w:rPr>
          <w:rFonts w:ascii="Times New Roman" w:hAnsi="Times New Roman"/>
          <w:i/>
          <w:sz w:val="24"/>
          <w:szCs w:val="24"/>
        </w:rPr>
        <w:t>p&lt;0,05</w:t>
      </w:r>
      <w:r w:rsidRPr="00A22460">
        <w:rPr>
          <w:rFonts w:ascii="Times New Roman" w:hAnsi="Times New Roman"/>
          <w:sz w:val="24"/>
          <w:szCs w:val="24"/>
        </w:rPr>
        <w:t>) para dados qualitativos, bem como análise de regressão (</w:t>
      </w:r>
      <w:r w:rsidRPr="00A22460">
        <w:rPr>
          <w:rFonts w:ascii="Times New Roman" w:hAnsi="Times New Roman"/>
          <w:i/>
          <w:sz w:val="24"/>
          <w:szCs w:val="24"/>
        </w:rPr>
        <w:t>p&lt;0,05</w:t>
      </w:r>
      <w:r w:rsidRPr="00A22460">
        <w:rPr>
          <w:rFonts w:ascii="Times New Roman" w:hAnsi="Times New Roman"/>
          <w:sz w:val="24"/>
          <w:szCs w:val="24"/>
        </w:rPr>
        <w:t>), para dados quantitativos, usando o software estatístico SISVAR</w:t>
      </w:r>
      <w:r w:rsidRPr="00A22460">
        <w:rPr>
          <w:rFonts w:ascii="Times New Roman" w:hAnsi="Times New Roman"/>
          <w:sz w:val="24"/>
          <w:szCs w:val="24"/>
          <w:vertAlign w:val="superscript"/>
        </w:rPr>
        <w:t>®</w:t>
      </w:r>
      <w:r w:rsidRPr="00A22460">
        <w:rPr>
          <w:rFonts w:ascii="Times New Roman" w:hAnsi="Times New Roman"/>
          <w:sz w:val="24"/>
          <w:szCs w:val="24"/>
        </w:rPr>
        <w:t xml:space="preserve"> versão 5.6 (</w:t>
      </w:r>
      <w:r w:rsidR="00DD0116" w:rsidRPr="00A22460">
        <w:rPr>
          <w:rFonts w:ascii="Times New Roman" w:hAnsi="Times New Roman"/>
          <w:sz w:val="24"/>
          <w:szCs w:val="24"/>
        </w:rPr>
        <w:t>Ferreira</w:t>
      </w:r>
      <w:r w:rsidRPr="00A22460">
        <w:rPr>
          <w:rFonts w:ascii="Times New Roman" w:hAnsi="Times New Roman"/>
          <w:sz w:val="24"/>
          <w:szCs w:val="24"/>
        </w:rPr>
        <w:t>, 2019).</w:t>
      </w:r>
    </w:p>
    <w:p w14:paraId="1166D61D" w14:textId="77777777" w:rsidR="005246CE" w:rsidRPr="00A22460" w:rsidRDefault="005246CE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D090E43" w14:textId="77777777" w:rsidR="00C25E75" w:rsidRPr="00A22460" w:rsidRDefault="00C25E75" w:rsidP="00AA5D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ED15DEC" w14:textId="120676D2" w:rsidR="00D74FC0" w:rsidRPr="00A22460" w:rsidRDefault="00D74FC0" w:rsidP="00AA5D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2460">
        <w:rPr>
          <w:rFonts w:ascii="Times New Roman" w:hAnsi="Times New Roman"/>
          <w:b/>
          <w:sz w:val="24"/>
          <w:szCs w:val="24"/>
        </w:rPr>
        <w:t>5 RESULTADOS E DISCUSSÃO</w:t>
      </w:r>
    </w:p>
    <w:p w14:paraId="410D1DCC" w14:textId="77777777" w:rsidR="00D74FC0" w:rsidRPr="00A22460" w:rsidRDefault="00D74FC0" w:rsidP="00AA5D6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EA75BB9" w14:textId="77777777" w:rsidR="000A312E" w:rsidRDefault="009854F8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  <w:sectPr w:rsidR="000A312E" w:rsidSect="00665729">
          <w:type w:val="continuous"/>
          <w:pgSz w:w="11906" w:h="16838"/>
          <w:pgMar w:top="1701" w:right="1134" w:bottom="1701" w:left="1701" w:header="709" w:footer="709" w:gutter="0"/>
          <w:cols w:num="2" w:space="567"/>
          <w:titlePg/>
          <w:docGrid w:linePitch="360"/>
        </w:sectPr>
      </w:pPr>
      <w:r w:rsidRPr="00A22460">
        <w:rPr>
          <w:rFonts w:ascii="Times New Roman" w:hAnsi="Times New Roman"/>
          <w:sz w:val="24"/>
          <w:szCs w:val="24"/>
        </w:rPr>
        <w:t xml:space="preserve">O resumo da análise de variância para as variáveis altura de planta (AP), diâmetro de caule (DC), número de folhas (NF) e área foliar (AF), avaliadas em função dos fatores tratamento (TRAT) e reposição hídrica (RH), bem como da interação entre ambos (TRAT </w:t>
      </w:r>
      <w:r w:rsidR="00FC6C79" w:rsidRPr="00A22460">
        <w:rPr>
          <w:rFonts w:ascii="Times New Roman" w:hAnsi="Times New Roman"/>
          <w:sz w:val="24"/>
          <w:szCs w:val="24"/>
        </w:rPr>
        <w:t>×</w:t>
      </w:r>
      <w:r w:rsidRPr="00A22460">
        <w:rPr>
          <w:rFonts w:ascii="Times New Roman" w:hAnsi="Times New Roman"/>
          <w:sz w:val="24"/>
          <w:szCs w:val="24"/>
        </w:rPr>
        <w:t xml:space="preserve"> RH). Observa-se que o fator TRAT foi significativo para as variáveis número de folhas (NF) </w:t>
      </w:r>
      <w:r w:rsidRPr="00A22460">
        <w:rPr>
          <w:rFonts w:ascii="Times New Roman" w:hAnsi="Times New Roman"/>
          <w:i/>
          <w:iCs/>
          <w:sz w:val="24"/>
          <w:szCs w:val="24"/>
        </w:rPr>
        <w:t>(p&lt;0,01</w:t>
      </w:r>
      <w:r w:rsidRPr="00A22460">
        <w:rPr>
          <w:rFonts w:ascii="Times New Roman" w:hAnsi="Times New Roman"/>
          <w:sz w:val="24"/>
          <w:szCs w:val="24"/>
        </w:rPr>
        <w:t>) e área foliar (AF) (</w:t>
      </w:r>
      <w:r w:rsidRPr="00A22460">
        <w:rPr>
          <w:rFonts w:ascii="Times New Roman" w:hAnsi="Times New Roman"/>
          <w:i/>
          <w:iCs/>
          <w:sz w:val="24"/>
          <w:szCs w:val="24"/>
        </w:rPr>
        <w:t>p&lt;0,05</w:t>
      </w:r>
      <w:r w:rsidRPr="00A22460">
        <w:rPr>
          <w:rFonts w:ascii="Times New Roman" w:hAnsi="Times New Roman"/>
          <w:sz w:val="24"/>
          <w:szCs w:val="24"/>
        </w:rPr>
        <w:t>), indicando que os diferentes tratamentos influenciaram essas variáveis específicas. O fator RH apresentou significância (</w:t>
      </w:r>
      <w:r w:rsidRPr="00A22460">
        <w:rPr>
          <w:rFonts w:ascii="Times New Roman" w:hAnsi="Times New Roman"/>
          <w:i/>
          <w:iCs/>
          <w:sz w:val="24"/>
          <w:szCs w:val="24"/>
        </w:rPr>
        <w:t>p&lt;0,01</w:t>
      </w:r>
      <w:r w:rsidRPr="00A22460">
        <w:rPr>
          <w:rFonts w:ascii="Times New Roman" w:hAnsi="Times New Roman"/>
          <w:sz w:val="24"/>
          <w:szCs w:val="24"/>
        </w:rPr>
        <w:t xml:space="preserve">) para todas as variáveis, o que sugere que a disponibilidade </w:t>
      </w:r>
      <w:r w:rsidRPr="00A22460">
        <w:rPr>
          <w:rFonts w:ascii="Times New Roman" w:hAnsi="Times New Roman"/>
          <w:sz w:val="24"/>
          <w:szCs w:val="24"/>
        </w:rPr>
        <w:lastRenderedPageBreak/>
        <w:t xml:space="preserve">hídrica foi determinante para o crescimento e desenvolvimento da cultura. A interação entre os fatores TRAT e RH, assim como as </w:t>
      </w:r>
      <w:r w:rsidRPr="00A22460">
        <w:rPr>
          <w:rFonts w:ascii="Times New Roman" w:hAnsi="Times New Roman"/>
          <w:sz w:val="24"/>
          <w:szCs w:val="24"/>
        </w:rPr>
        <w:t>repetições, não foram significativas para as variáveis analisadas (Tabela 3).</w:t>
      </w:r>
    </w:p>
    <w:p w14:paraId="339E406F" w14:textId="16F636F7" w:rsidR="009854F8" w:rsidRPr="00A22460" w:rsidRDefault="009854F8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CAB5EBC" w14:textId="774F5D0F" w:rsidR="00C70EBA" w:rsidRPr="00A22460" w:rsidRDefault="00C70EBA" w:rsidP="00117316">
      <w:pPr>
        <w:spacing w:after="0"/>
        <w:ind w:left="992" w:hanging="992"/>
        <w:jc w:val="both"/>
        <w:rPr>
          <w:rFonts w:ascii="Times New Roman" w:hAnsi="Times New Roman"/>
          <w:b/>
          <w:sz w:val="24"/>
          <w:szCs w:val="24"/>
        </w:rPr>
      </w:pPr>
      <w:r w:rsidRPr="00A22460">
        <w:rPr>
          <w:rFonts w:ascii="Times New Roman" w:hAnsi="Times New Roman"/>
          <w:b/>
          <w:sz w:val="24"/>
          <w:szCs w:val="24"/>
        </w:rPr>
        <w:t>Tabela 3.</w:t>
      </w:r>
      <w:r w:rsidRPr="00A22460">
        <w:rPr>
          <w:rFonts w:ascii="Times New Roman" w:hAnsi="Times New Roman"/>
          <w:sz w:val="24"/>
          <w:szCs w:val="24"/>
        </w:rPr>
        <w:t xml:space="preserve"> Resumo da análise de variância para as variáveis altura de planta (AP), diâmetro de caule (DC), número de folha (NF) e área foliar (AF), em função da fonte de variação, Safra 2024, Rio Verde – GO</w:t>
      </w:r>
    </w:p>
    <w:tbl>
      <w:tblPr>
        <w:tblW w:w="8647" w:type="dxa"/>
        <w:jc w:val="center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1441"/>
        <w:gridCol w:w="573"/>
        <w:gridCol w:w="1602"/>
        <w:gridCol w:w="1349"/>
        <w:gridCol w:w="1475"/>
        <w:gridCol w:w="2207"/>
      </w:tblGrid>
      <w:tr w:rsidR="00A22460" w:rsidRPr="00A22460" w14:paraId="0005CB0F" w14:textId="77777777" w:rsidTr="000A312E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bottom w:val="nil"/>
            </w:tcBorders>
            <w:vAlign w:val="center"/>
          </w:tcPr>
          <w:p w14:paraId="06F3F20F" w14:textId="77777777" w:rsidR="009F1BB7" w:rsidRPr="007E3598" w:rsidRDefault="009F1BB7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7E35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FV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nil"/>
            </w:tcBorders>
            <w:vAlign w:val="center"/>
          </w:tcPr>
          <w:p w14:paraId="5799E5C4" w14:textId="77777777" w:rsidR="009F1BB7" w:rsidRPr="007E3598" w:rsidRDefault="009F1BB7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7E35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GL</w:t>
            </w:r>
          </w:p>
        </w:tc>
        <w:tc>
          <w:tcPr>
            <w:tcW w:w="655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107282" w14:textId="77777777" w:rsidR="009F1BB7" w:rsidRPr="007E3598" w:rsidRDefault="009F1BB7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7E35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Quadrados médios</w:t>
            </w:r>
          </w:p>
        </w:tc>
      </w:tr>
      <w:tr w:rsidR="00A22460" w:rsidRPr="00A22460" w14:paraId="15E6CFC4" w14:textId="77777777" w:rsidTr="000A312E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bottom w:val="nil"/>
            </w:tcBorders>
            <w:vAlign w:val="center"/>
          </w:tcPr>
          <w:p w14:paraId="794BAC27" w14:textId="77777777" w:rsidR="009F1BB7" w:rsidRPr="007E3598" w:rsidRDefault="009F1BB7" w:rsidP="00AA5D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nil"/>
            </w:tcBorders>
            <w:vAlign w:val="center"/>
          </w:tcPr>
          <w:p w14:paraId="67184CBA" w14:textId="77777777" w:rsidR="009F1BB7" w:rsidRPr="007E3598" w:rsidRDefault="009F1BB7" w:rsidP="00AA5D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446D3D" w14:textId="77777777" w:rsidR="009F1BB7" w:rsidRPr="007E3598" w:rsidRDefault="009F1BB7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7E35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AP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F85B1" w14:textId="77777777" w:rsidR="009F1BB7" w:rsidRPr="007E3598" w:rsidRDefault="009F1BB7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7E35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DC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58AA8C" w14:textId="77777777" w:rsidR="009F1BB7" w:rsidRPr="007E3598" w:rsidRDefault="009F1BB7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7E35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NF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938F21" w14:textId="77777777" w:rsidR="009F1BB7" w:rsidRPr="007E3598" w:rsidRDefault="009F1BB7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7E35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AF</w:t>
            </w:r>
          </w:p>
        </w:tc>
      </w:tr>
      <w:tr w:rsidR="00A22460" w:rsidRPr="00A22460" w14:paraId="77ACA992" w14:textId="77777777" w:rsidTr="000A312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14:paraId="52BD3F89" w14:textId="77777777" w:rsidR="009F1BB7" w:rsidRPr="007E3598" w:rsidRDefault="009F1BB7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TRAT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14:paraId="413B407D" w14:textId="77777777" w:rsidR="009F1BB7" w:rsidRPr="007E3598" w:rsidRDefault="009F1BB7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14:paraId="1925CD76" w14:textId="19F367EF" w:rsidR="009F1BB7" w:rsidRPr="007E3598" w:rsidRDefault="009F1BB7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t-BR"/>
              </w:rPr>
            </w:pPr>
            <w:r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49</w:t>
            </w:r>
            <w:r w:rsidR="005C3603"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,</w:t>
            </w:r>
            <w:r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855125</w:t>
            </w:r>
            <w:r w:rsidRPr="007E359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14:paraId="5A47D75F" w14:textId="77777777" w:rsidR="009F1BB7" w:rsidRPr="007E3598" w:rsidRDefault="009F1BB7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0,332458</w:t>
            </w:r>
            <w:r w:rsidRPr="007E359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14:paraId="111E3780" w14:textId="77777777" w:rsidR="009F1BB7" w:rsidRPr="007E3598" w:rsidRDefault="009F1BB7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22,618833</w:t>
            </w:r>
            <w:r w:rsidRPr="007E359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t-BR"/>
              </w:rPr>
              <w:t>**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vAlign w:val="center"/>
          </w:tcPr>
          <w:p w14:paraId="4F43D0C3" w14:textId="77777777" w:rsidR="009F1BB7" w:rsidRPr="007E3598" w:rsidRDefault="009F1BB7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134218,188125</w:t>
            </w:r>
            <w:r w:rsidRPr="007E359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t-BR"/>
              </w:rPr>
              <w:t>*</w:t>
            </w:r>
          </w:p>
        </w:tc>
      </w:tr>
      <w:tr w:rsidR="00A22460" w:rsidRPr="00A22460" w14:paraId="1F024C50" w14:textId="77777777" w:rsidTr="000A312E">
        <w:trPr>
          <w:trHeight w:val="20"/>
          <w:jc w:val="center"/>
        </w:trPr>
        <w:tc>
          <w:tcPr>
            <w:tcW w:w="0" w:type="auto"/>
            <w:vAlign w:val="center"/>
          </w:tcPr>
          <w:p w14:paraId="35F232FC" w14:textId="77777777" w:rsidR="009F1BB7" w:rsidRPr="007E3598" w:rsidRDefault="009F1BB7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RH</w:t>
            </w:r>
          </w:p>
        </w:tc>
        <w:tc>
          <w:tcPr>
            <w:tcW w:w="0" w:type="auto"/>
            <w:vAlign w:val="center"/>
          </w:tcPr>
          <w:p w14:paraId="279ACB95" w14:textId="77777777" w:rsidR="009F1BB7" w:rsidRPr="007E3598" w:rsidRDefault="009F1BB7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vAlign w:val="center"/>
          </w:tcPr>
          <w:p w14:paraId="7880EB64" w14:textId="5BA15760" w:rsidR="009F1BB7" w:rsidRPr="007E3598" w:rsidRDefault="009F1BB7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302</w:t>
            </w:r>
            <w:r w:rsidR="005C3603"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,</w:t>
            </w:r>
            <w:r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551458</w:t>
            </w:r>
            <w:r w:rsidRPr="007E359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t-BR"/>
              </w:rPr>
              <w:t>**</w:t>
            </w:r>
          </w:p>
        </w:tc>
        <w:tc>
          <w:tcPr>
            <w:tcW w:w="0" w:type="auto"/>
            <w:vAlign w:val="center"/>
          </w:tcPr>
          <w:p w14:paraId="04D35A7C" w14:textId="77777777" w:rsidR="009F1BB7" w:rsidRPr="007E3598" w:rsidRDefault="009F1BB7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0,985125</w:t>
            </w:r>
            <w:r w:rsidRPr="007E359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t-BR"/>
              </w:rPr>
              <w:t>**</w:t>
            </w:r>
          </w:p>
        </w:tc>
        <w:tc>
          <w:tcPr>
            <w:tcW w:w="0" w:type="auto"/>
            <w:vAlign w:val="center"/>
          </w:tcPr>
          <w:p w14:paraId="3B4303F7" w14:textId="77777777" w:rsidR="009F1BB7" w:rsidRPr="007E3598" w:rsidRDefault="009F1BB7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62,098833</w:t>
            </w:r>
            <w:r w:rsidRPr="007E359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t-BR"/>
              </w:rPr>
              <w:t>**</w:t>
            </w:r>
          </w:p>
        </w:tc>
        <w:tc>
          <w:tcPr>
            <w:tcW w:w="2126" w:type="dxa"/>
            <w:vAlign w:val="center"/>
          </w:tcPr>
          <w:p w14:paraId="14FBE80F" w14:textId="77777777" w:rsidR="009F1BB7" w:rsidRPr="007E3598" w:rsidRDefault="009F1BB7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509474,310125</w:t>
            </w:r>
            <w:r w:rsidRPr="007E359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t-BR"/>
              </w:rPr>
              <w:t>**</w:t>
            </w:r>
          </w:p>
        </w:tc>
      </w:tr>
      <w:tr w:rsidR="00A22460" w:rsidRPr="00A22460" w14:paraId="0702DC03" w14:textId="77777777" w:rsidTr="000A312E">
        <w:trPr>
          <w:trHeight w:val="20"/>
          <w:jc w:val="center"/>
        </w:trPr>
        <w:tc>
          <w:tcPr>
            <w:tcW w:w="0" w:type="auto"/>
            <w:vAlign w:val="center"/>
          </w:tcPr>
          <w:p w14:paraId="363649C4" w14:textId="77777777" w:rsidR="009F1BB7" w:rsidRPr="007E3598" w:rsidRDefault="009F1BB7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TRAT x RH</w:t>
            </w:r>
          </w:p>
        </w:tc>
        <w:tc>
          <w:tcPr>
            <w:tcW w:w="0" w:type="auto"/>
            <w:vAlign w:val="center"/>
          </w:tcPr>
          <w:p w14:paraId="5BB8C097" w14:textId="77777777" w:rsidR="009F1BB7" w:rsidRPr="007E3598" w:rsidRDefault="009F1BB7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0" w:type="auto"/>
            <w:vAlign w:val="center"/>
          </w:tcPr>
          <w:p w14:paraId="59C13945" w14:textId="691DF88C" w:rsidR="009F1BB7" w:rsidRPr="007E3598" w:rsidRDefault="009F1BB7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15</w:t>
            </w:r>
            <w:r w:rsidR="005C3603"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,</w:t>
            </w:r>
            <w:r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248903</w:t>
            </w:r>
            <w:r w:rsidRPr="007E359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  <w:tc>
          <w:tcPr>
            <w:tcW w:w="0" w:type="auto"/>
            <w:vAlign w:val="center"/>
          </w:tcPr>
          <w:p w14:paraId="64BEF2CB" w14:textId="77777777" w:rsidR="009F1BB7" w:rsidRPr="007E3598" w:rsidRDefault="009F1BB7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0,588347</w:t>
            </w:r>
            <w:r w:rsidRPr="007E359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  <w:tc>
          <w:tcPr>
            <w:tcW w:w="0" w:type="auto"/>
            <w:vAlign w:val="center"/>
          </w:tcPr>
          <w:p w14:paraId="0C7530B6" w14:textId="77777777" w:rsidR="009F1BB7" w:rsidRPr="007E3598" w:rsidRDefault="009F1BB7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7,701611</w:t>
            </w:r>
            <w:r w:rsidRPr="007E359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  <w:tc>
          <w:tcPr>
            <w:tcW w:w="2126" w:type="dxa"/>
            <w:vAlign w:val="center"/>
          </w:tcPr>
          <w:p w14:paraId="06DA7D3A" w14:textId="77777777" w:rsidR="009F1BB7" w:rsidRPr="007E3598" w:rsidRDefault="009F1BB7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41264,384903</w:t>
            </w:r>
            <w:r w:rsidRPr="007E359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t-BR"/>
              </w:rPr>
              <w:t xml:space="preserve"> </w:t>
            </w:r>
            <w:proofErr w:type="spellStart"/>
            <w:r w:rsidRPr="007E359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t-BR"/>
              </w:rPr>
              <w:t>ns</w:t>
            </w:r>
            <w:proofErr w:type="spellEnd"/>
          </w:p>
        </w:tc>
      </w:tr>
      <w:tr w:rsidR="00A22460" w:rsidRPr="00A22460" w14:paraId="136A9C0D" w14:textId="77777777" w:rsidTr="000A312E">
        <w:trPr>
          <w:trHeight w:val="20"/>
          <w:jc w:val="center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13BF0C93" w14:textId="77777777" w:rsidR="009F1BB7" w:rsidRPr="007E3598" w:rsidRDefault="009F1BB7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REP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235220B2" w14:textId="77777777" w:rsidR="009F1BB7" w:rsidRPr="007E3598" w:rsidRDefault="009F1BB7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20BD1678" w14:textId="38C45318" w:rsidR="009F1BB7" w:rsidRPr="007E3598" w:rsidRDefault="009F1BB7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39</w:t>
            </w:r>
            <w:r w:rsidR="005C3603"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,</w:t>
            </w:r>
            <w:r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345813</w:t>
            </w:r>
            <w:r w:rsidRPr="007E359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1113D037" w14:textId="77777777" w:rsidR="009F1BB7" w:rsidRPr="007E3598" w:rsidRDefault="009F1BB7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0,362046</w:t>
            </w:r>
            <w:r w:rsidRPr="007E359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4027808F" w14:textId="77777777" w:rsidR="009F1BB7" w:rsidRPr="007E3598" w:rsidRDefault="009F1BB7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3,886750</w:t>
            </w:r>
            <w:r w:rsidRPr="007E359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467BB8BA" w14:textId="77777777" w:rsidR="009F1BB7" w:rsidRPr="007E3598" w:rsidRDefault="009F1BB7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37507,620438</w:t>
            </w:r>
            <w:r w:rsidRPr="007E359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</w:tr>
      <w:tr w:rsidR="00A22460" w:rsidRPr="00A22460" w14:paraId="06AC94AD" w14:textId="77777777" w:rsidTr="000A312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F16873" w14:textId="77777777" w:rsidR="009F1BB7" w:rsidRPr="007E3598" w:rsidRDefault="009F1BB7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Resíduo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40F9C9" w14:textId="77777777" w:rsidR="009F1BB7" w:rsidRPr="007E3598" w:rsidRDefault="009F1BB7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BB9786" w14:textId="27E10266" w:rsidR="009F1BB7" w:rsidRPr="007E3598" w:rsidRDefault="009F1BB7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24</w:t>
            </w:r>
            <w:r w:rsidR="005C3603"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,</w:t>
            </w:r>
            <w:r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838346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B09AC4" w14:textId="77777777" w:rsidR="009F1BB7" w:rsidRPr="007E3598" w:rsidRDefault="009F1BB7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0,362046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2E15B0" w14:textId="77777777" w:rsidR="009F1BB7" w:rsidRPr="007E3598" w:rsidRDefault="009F1BB7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4,784750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02DB87" w14:textId="77777777" w:rsidR="009F1BB7" w:rsidRPr="007E3598" w:rsidRDefault="009F1BB7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45577,374238</w:t>
            </w:r>
          </w:p>
        </w:tc>
      </w:tr>
      <w:tr w:rsidR="00A22460" w:rsidRPr="00A22460" w14:paraId="4A3E3D8E" w14:textId="77777777" w:rsidTr="000A312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D06107" w14:textId="77777777" w:rsidR="009F1BB7" w:rsidRPr="007E3598" w:rsidRDefault="009F1BB7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CV (%)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271B84" w14:textId="77777777" w:rsidR="009F1BB7" w:rsidRPr="007E3598" w:rsidRDefault="009F1BB7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5765DA" w14:textId="2D469AD6" w:rsidR="009F1BB7" w:rsidRPr="007E3598" w:rsidRDefault="009F1BB7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23</w:t>
            </w:r>
            <w:r w:rsidR="005C3603"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,</w:t>
            </w:r>
            <w:r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EB404C" w14:textId="77777777" w:rsidR="009F1BB7" w:rsidRPr="007E3598" w:rsidRDefault="009F1BB7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15,01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0E973A" w14:textId="77777777" w:rsidR="009F1BB7" w:rsidRPr="007E3598" w:rsidRDefault="009F1BB7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20,53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CC49F6" w14:textId="77777777" w:rsidR="009F1BB7" w:rsidRPr="007E3598" w:rsidRDefault="009F1BB7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E359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40,07</w:t>
            </w:r>
          </w:p>
        </w:tc>
      </w:tr>
    </w:tbl>
    <w:p w14:paraId="076C663F" w14:textId="338F6665" w:rsidR="002256A0" w:rsidRPr="00A22460" w:rsidRDefault="002256A0" w:rsidP="00AA5D66">
      <w:pPr>
        <w:widowControl w:val="0"/>
        <w:suppressAutoHyphens w:val="0"/>
        <w:spacing w:after="0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proofErr w:type="spellStart"/>
      <w:r w:rsidRPr="00A22460">
        <w:rPr>
          <w:rFonts w:ascii="Times New Roman" w:eastAsia="Times New Roman" w:hAnsi="Times New Roman"/>
          <w:sz w:val="20"/>
          <w:szCs w:val="20"/>
          <w:vertAlign w:val="superscript"/>
          <w:lang w:eastAsia="pt-BR"/>
        </w:rPr>
        <w:t>ns</w:t>
      </w:r>
      <w:proofErr w:type="spellEnd"/>
      <w:r w:rsidRPr="00A22460">
        <w:rPr>
          <w:rFonts w:ascii="Times New Roman" w:eastAsia="Times New Roman" w:hAnsi="Times New Roman"/>
          <w:sz w:val="20"/>
          <w:szCs w:val="20"/>
          <w:lang w:eastAsia="pt-BR"/>
        </w:rPr>
        <w:t xml:space="preserve"> não significativo e *; ** significativo respectivamente a 5 e 1% de probabilidade segundo teste F. FV – fonte de variação; GL – Grau de Liberdade; CV – Coeficiente de Variação; REP – Repetição; RH – Reposição hídrica</w:t>
      </w:r>
      <w:r w:rsidR="00C02529" w:rsidRPr="00A22460">
        <w:rPr>
          <w:rFonts w:ascii="Times New Roman" w:eastAsia="Times New Roman" w:hAnsi="Times New Roman"/>
          <w:sz w:val="20"/>
          <w:szCs w:val="20"/>
          <w:lang w:eastAsia="pt-BR"/>
        </w:rPr>
        <w:t>;</w:t>
      </w:r>
      <w:r w:rsidRPr="00A22460">
        <w:rPr>
          <w:rFonts w:ascii="Times New Roman" w:eastAsia="Times New Roman" w:hAnsi="Times New Roman"/>
          <w:sz w:val="20"/>
          <w:szCs w:val="20"/>
          <w:lang w:eastAsia="pt-BR"/>
        </w:rPr>
        <w:t xml:space="preserve"> e TRAT – Bioestimulante a base de microrganismos (</w:t>
      </w:r>
      <w:r w:rsidRPr="00A22460">
        <w:rPr>
          <w:rFonts w:ascii="Times New Roman" w:eastAsia="Times New Roman" w:hAnsi="Times New Roman"/>
          <w:i/>
          <w:sz w:val="20"/>
          <w:szCs w:val="20"/>
          <w:lang w:eastAsia="pt-BR"/>
        </w:rPr>
        <w:t xml:space="preserve">Bacillus </w:t>
      </w:r>
      <w:proofErr w:type="spellStart"/>
      <w:r w:rsidRPr="00A22460">
        <w:rPr>
          <w:rFonts w:ascii="Times New Roman" w:eastAsia="Times New Roman" w:hAnsi="Times New Roman"/>
          <w:i/>
          <w:sz w:val="20"/>
          <w:szCs w:val="20"/>
          <w:lang w:eastAsia="pt-BR"/>
        </w:rPr>
        <w:t>aryabhattai</w:t>
      </w:r>
      <w:proofErr w:type="spellEnd"/>
      <w:r w:rsidRPr="00A22460">
        <w:rPr>
          <w:rFonts w:ascii="Times New Roman" w:eastAsia="Times New Roman" w:hAnsi="Times New Roman"/>
          <w:sz w:val="20"/>
          <w:szCs w:val="20"/>
          <w:lang w:eastAsia="pt-BR"/>
        </w:rPr>
        <w:t xml:space="preserve"> + </w:t>
      </w:r>
      <w:r w:rsidRPr="00A22460">
        <w:rPr>
          <w:rFonts w:ascii="Times New Roman" w:eastAsia="Times New Roman" w:hAnsi="Times New Roman"/>
          <w:i/>
          <w:sz w:val="20"/>
          <w:szCs w:val="20"/>
          <w:lang w:eastAsia="pt-BR"/>
        </w:rPr>
        <w:t xml:space="preserve">Bacillus </w:t>
      </w:r>
      <w:proofErr w:type="spellStart"/>
      <w:r w:rsidRPr="00A22460">
        <w:rPr>
          <w:rFonts w:ascii="Times New Roman" w:eastAsia="Times New Roman" w:hAnsi="Times New Roman"/>
          <w:i/>
          <w:sz w:val="20"/>
          <w:szCs w:val="20"/>
          <w:lang w:eastAsia="pt-BR"/>
        </w:rPr>
        <w:t>subtilis</w:t>
      </w:r>
      <w:proofErr w:type="spellEnd"/>
      <w:r w:rsidRPr="00A22460">
        <w:rPr>
          <w:rFonts w:ascii="Times New Roman" w:eastAsia="Times New Roman" w:hAnsi="Times New Roman"/>
          <w:sz w:val="20"/>
          <w:szCs w:val="20"/>
          <w:lang w:eastAsia="pt-BR"/>
        </w:rPr>
        <w:t xml:space="preserve"> + </w:t>
      </w:r>
      <w:proofErr w:type="spellStart"/>
      <w:r w:rsidRPr="00A22460">
        <w:rPr>
          <w:rFonts w:ascii="Times New Roman" w:eastAsia="Times New Roman" w:hAnsi="Times New Roman"/>
          <w:i/>
          <w:sz w:val="20"/>
          <w:szCs w:val="20"/>
          <w:lang w:eastAsia="pt-BR"/>
        </w:rPr>
        <w:t>Trichoderma</w:t>
      </w:r>
      <w:proofErr w:type="spellEnd"/>
      <w:r w:rsidRPr="00A22460">
        <w:rPr>
          <w:rFonts w:ascii="Times New Roman" w:eastAsia="Times New Roman" w:hAnsi="Times New Roman"/>
          <w:i/>
          <w:sz w:val="20"/>
          <w:szCs w:val="20"/>
          <w:lang w:eastAsia="pt-BR"/>
        </w:rPr>
        <w:t xml:space="preserve"> </w:t>
      </w:r>
      <w:proofErr w:type="spellStart"/>
      <w:r w:rsidRPr="00A22460">
        <w:rPr>
          <w:rFonts w:ascii="Times New Roman" w:eastAsia="Times New Roman" w:hAnsi="Times New Roman"/>
          <w:i/>
          <w:sz w:val="20"/>
          <w:szCs w:val="20"/>
          <w:lang w:eastAsia="pt-BR"/>
        </w:rPr>
        <w:t>asperellum</w:t>
      </w:r>
      <w:proofErr w:type="spellEnd"/>
      <w:r w:rsidRPr="00A22460">
        <w:rPr>
          <w:rFonts w:ascii="Times New Roman" w:eastAsia="Times New Roman" w:hAnsi="Times New Roman"/>
          <w:i/>
          <w:sz w:val="20"/>
          <w:szCs w:val="20"/>
          <w:lang w:eastAsia="pt-BR"/>
        </w:rPr>
        <w:t>)</w:t>
      </w:r>
      <w:r w:rsidRPr="00A22460">
        <w:rPr>
          <w:rFonts w:ascii="Times New Roman" w:eastAsia="Times New Roman" w:hAnsi="Times New Roman"/>
          <w:sz w:val="20"/>
          <w:szCs w:val="20"/>
          <w:lang w:eastAsia="pt-BR"/>
        </w:rPr>
        <w:t xml:space="preserve"> e </w:t>
      </w:r>
      <w:proofErr w:type="spellStart"/>
      <w:r w:rsidRPr="00A22460">
        <w:rPr>
          <w:rFonts w:ascii="Times New Roman" w:eastAsia="Times New Roman" w:hAnsi="Times New Roman"/>
          <w:sz w:val="20"/>
          <w:szCs w:val="20"/>
          <w:lang w:eastAsia="pt-BR"/>
        </w:rPr>
        <w:t>biofertilizante</w:t>
      </w:r>
      <w:proofErr w:type="spellEnd"/>
      <w:r w:rsidRPr="00A22460">
        <w:rPr>
          <w:rFonts w:ascii="Times New Roman" w:eastAsia="Times New Roman" w:hAnsi="Times New Roman"/>
          <w:sz w:val="20"/>
          <w:szCs w:val="20"/>
          <w:lang w:eastAsia="pt-BR"/>
        </w:rPr>
        <w:t xml:space="preserve"> a base de extrato de algas (</w:t>
      </w:r>
      <w:proofErr w:type="spellStart"/>
      <w:r w:rsidRPr="00A22460">
        <w:rPr>
          <w:rFonts w:ascii="Times New Roman" w:eastAsia="Times New Roman" w:hAnsi="Times New Roman"/>
          <w:i/>
          <w:sz w:val="20"/>
          <w:szCs w:val="20"/>
          <w:lang w:eastAsia="pt-BR"/>
        </w:rPr>
        <w:t>Ascophyllum</w:t>
      </w:r>
      <w:proofErr w:type="spellEnd"/>
      <w:r w:rsidRPr="00A22460">
        <w:rPr>
          <w:rFonts w:ascii="Times New Roman" w:eastAsia="Times New Roman" w:hAnsi="Times New Roman"/>
          <w:sz w:val="20"/>
          <w:szCs w:val="20"/>
          <w:lang w:eastAsia="pt-BR"/>
        </w:rPr>
        <w:t xml:space="preserve"> </w:t>
      </w:r>
      <w:proofErr w:type="spellStart"/>
      <w:r w:rsidRPr="00A22460">
        <w:rPr>
          <w:rFonts w:ascii="Times New Roman" w:eastAsia="Times New Roman" w:hAnsi="Times New Roman"/>
          <w:i/>
          <w:sz w:val="20"/>
          <w:szCs w:val="20"/>
          <w:lang w:eastAsia="pt-BR"/>
        </w:rPr>
        <w:t>nodusum</w:t>
      </w:r>
      <w:proofErr w:type="spellEnd"/>
      <w:r w:rsidRPr="00A22460">
        <w:rPr>
          <w:rFonts w:ascii="Times New Roman" w:eastAsia="Times New Roman" w:hAnsi="Times New Roman"/>
          <w:sz w:val="20"/>
          <w:szCs w:val="20"/>
          <w:lang w:eastAsia="pt-BR"/>
        </w:rPr>
        <w:t xml:space="preserve"> + </w:t>
      </w:r>
      <w:proofErr w:type="spellStart"/>
      <w:r w:rsidRPr="00A22460">
        <w:rPr>
          <w:rFonts w:ascii="Times New Roman" w:eastAsia="Times New Roman" w:hAnsi="Times New Roman"/>
          <w:i/>
          <w:sz w:val="20"/>
          <w:szCs w:val="20"/>
          <w:lang w:eastAsia="pt-BR"/>
        </w:rPr>
        <w:t>Kappaphycus</w:t>
      </w:r>
      <w:proofErr w:type="spellEnd"/>
      <w:r w:rsidRPr="00A22460">
        <w:rPr>
          <w:rFonts w:ascii="Times New Roman" w:eastAsia="Times New Roman" w:hAnsi="Times New Roman"/>
          <w:sz w:val="20"/>
          <w:szCs w:val="20"/>
          <w:lang w:eastAsia="pt-BR"/>
        </w:rPr>
        <w:t xml:space="preserve"> </w:t>
      </w:r>
      <w:proofErr w:type="spellStart"/>
      <w:r w:rsidRPr="00A22460">
        <w:rPr>
          <w:rFonts w:ascii="Times New Roman" w:eastAsia="Times New Roman" w:hAnsi="Times New Roman"/>
          <w:i/>
          <w:sz w:val="20"/>
          <w:szCs w:val="20"/>
          <w:lang w:eastAsia="pt-BR"/>
        </w:rPr>
        <w:t>alvarezii</w:t>
      </w:r>
      <w:proofErr w:type="spellEnd"/>
      <w:r w:rsidRPr="00A22460">
        <w:rPr>
          <w:rFonts w:ascii="Times New Roman" w:eastAsia="Times New Roman" w:hAnsi="Times New Roman"/>
          <w:sz w:val="20"/>
          <w:szCs w:val="20"/>
          <w:lang w:eastAsia="pt-BR"/>
        </w:rPr>
        <w:t>) + complexo de aminoácidos (Prolina + arginina).</w:t>
      </w:r>
    </w:p>
    <w:p w14:paraId="7D89F21A" w14:textId="41F6BF69" w:rsidR="00824EF9" w:rsidRPr="00A22460" w:rsidRDefault="00824EF9" w:rsidP="00AA5D6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22460">
        <w:rPr>
          <w:rFonts w:ascii="Times New Roman" w:hAnsi="Times New Roman"/>
          <w:b/>
          <w:bCs/>
          <w:sz w:val="20"/>
          <w:szCs w:val="20"/>
        </w:rPr>
        <w:t>Fonte:</w:t>
      </w:r>
      <w:r w:rsidRPr="00A22460">
        <w:rPr>
          <w:rFonts w:ascii="Times New Roman" w:hAnsi="Times New Roman"/>
          <w:sz w:val="20"/>
          <w:szCs w:val="20"/>
        </w:rPr>
        <w:t xml:space="preserve"> Autores (202</w:t>
      </w:r>
      <w:r w:rsidR="009E3B26" w:rsidRPr="00A22460">
        <w:rPr>
          <w:rFonts w:ascii="Times New Roman" w:hAnsi="Times New Roman"/>
          <w:sz w:val="20"/>
          <w:szCs w:val="20"/>
        </w:rPr>
        <w:t>5</w:t>
      </w:r>
      <w:r w:rsidRPr="00A22460">
        <w:rPr>
          <w:rFonts w:ascii="Times New Roman" w:hAnsi="Times New Roman"/>
          <w:sz w:val="20"/>
          <w:szCs w:val="20"/>
        </w:rPr>
        <w:t>)</w:t>
      </w:r>
    </w:p>
    <w:p w14:paraId="3BB2DF58" w14:textId="77777777" w:rsidR="00C70EBA" w:rsidRPr="00A22460" w:rsidRDefault="00C70EBA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697910C" w14:textId="77777777" w:rsidR="000A312E" w:rsidRDefault="000A312E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  <w:sectPr w:rsidR="000A312E" w:rsidSect="000A312E">
          <w:type w:val="continuous"/>
          <w:pgSz w:w="11906" w:h="16838"/>
          <w:pgMar w:top="1701" w:right="1134" w:bottom="1701" w:left="1701" w:header="720" w:footer="720" w:gutter="0"/>
          <w:cols w:space="720"/>
          <w:titlePg/>
          <w:docGrid w:linePitch="360"/>
        </w:sectPr>
      </w:pPr>
    </w:p>
    <w:p w14:paraId="424BACD5" w14:textId="77777777" w:rsidR="000A312E" w:rsidRDefault="000E2503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  <w:sectPr w:rsidR="000A312E" w:rsidSect="000A312E">
          <w:type w:val="continuous"/>
          <w:pgSz w:w="11906" w:h="16838"/>
          <w:pgMar w:top="1701" w:right="1134" w:bottom="1701" w:left="1701" w:header="720" w:footer="720" w:gutter="0"/>
          <w:cols w:num="2" w:space="567"/>
          <w:titlePg/>
          <w:docGrid w:linePitch="360"/>
        </w:sectPr>
      </w:pPr>
      <w:r w:rsidRPr="00A22460">
        <w:rPr>
          <w:rFonts w:ascii="Times New Roman" w:hAnsi="Times New Roman"/>
          <w:sz w:val="24"/>
          <w:szCs w:val="24"/>
        </w:rPr>
        <w:t xml:space="preserve">Os valores médios das variáveis altura de planta (AP), diâmetro de caule (DC), número de folhas (NF) e área foliar (AF) em função dos tratamentos aplicados: bioestimulantes à base de microrganismos (Micro), </w:t>
      </w:r>
      <w:proofErr w:type="spellStart"/>
      <w:r w:rsidRPr="00A22460">
        <w:rPr>
          <w:rFonts w:ascii="Times New Roman" w:hAnsi="Times New Roman"/>
          <w:sz w:val="24"/>
          <w:szCs w:val="24"/>
        </w:rPr>
        <w:t>biofertilizante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22460">
        <w:rPr>
          <w:rFonts w:ascii="Times New Roman" w:hAnsi="Times New Roman"/>
          <w:sz w:val="24"/>
          <w:szCs w:val="24"/>
        </w:rPr>
        <w:t>Bio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), combinação de ambos (Micro + </w:t>
      </w:r>
      <w:proofErr w:type="spellStart"/>
      <w:r w:rsidRPr="00A22460">
        <w:rPr>
          <w:rFonts w:ascii="Times New Roman" w:hAnsi="Times New Roman"/>
          <w:sz w:val="24"/>
          <w:szCs w:val="24"/>
        </w:rPr>
        <w:t>Bio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), e uma testemunha. Para o número de folhas (NF), o tratamento </w:t>
      </w:r>
      <w:proofErr w:type="spellStart"/>
      <w:r w:rsidRPr="00A22460">
        <w:rPr>
          <w:rFonts w:ascii="Times New Roman" w:hAnsi="Times New Roman"/>
          <w:sz w:val="24"/>
          <w:szCs w:val="24"/>
        </w:rPr>
        <w:t>Bio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 apresentou a maior média (11,63), </w:t>
      </w:r>
      <w:r w:rsidRPr="00A22460">
        <w:rPr>
          <w:rFonts w:ascii="Times New Roman" w:hAnsi="Times New Roman"/>
          <w:sz w:val="24"/>
          <w:szCs w:val="24"/>
        </w:rPr>
        <w:t xml:space="preserve">seguido dos tratamentos Micro (11,23) e Micro + </w:t>
      </w:r>
      <w:proofErr w:type="spellStart"/>
      <w:r w:rsidRPr="00A22460">
        <w:rPr>
          <w:rFonts w:ascii="Times New Roman" w:hAnsi="Times New Roman"/>
          <w:sz w:val="24"/>
          <w:szCs w:val="24"/>
        </w:rPr>
        <w:t>Bio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 (10,61), enquanto a testemunha apresentou o menor valor (9,56). Em relação à área foliar (AF), todos os tratamentos com bioestimulantes e microrganismos (Micro, </w:t>
      </w:r>
      <w:proofErr w:type="spellStart"/>
      <w:r w:rsidRPr="00A22460">
        <w:rPr>
          <w:rFonts w:ascii="Times New Roman" w:hAnsi="Times New Roman"/>
          <w:sz w:val="24"/>
          <w:szCs w:val="24"/>
        </w:rPr>
        <w:t>Bio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 e Micro + </w:t>
      </w:r>
      <w:proofErr w:type="spellStart"/>
      <w:r w:rsidRPr="00A22460">
        <w:rPr>
          <w:rFonts w:ascii="Times New Roman" w:hAnsi="Times New Roman"/>
          <w:sz w:val="24"/>
          <w:szCs w:val="24"/>
        </w:rPr>
        <w:t>Bio</w:t>
      </w:r>
      <w:proofErr w:type="spellEnd"/>
      <w:r w:rsidRPr="00A22460">
        <w:rPr>
          <w:rFonts w:ascii="Times New Roman" w:hAnsi="Times New Roman"/>
          <w:sz w:val="24"/>
          <w:szCs w:val="24"/>
        </w:rPr>
        <w:t>) mostraram valores superiores à testemunha, com a maior média observada para o tratamento Micro (575,95 cm²) (Tabela 4).</w:t>
      </w:r>
    </w:p>
    <w:p w14:paraId="73DA334E" w14:textId="5FA46F38" w:rsidR="000E2503" w:rsidRPr="00A22460" w:rsidRDefault="000E2503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6A121D9" w14:textId="68FCAB30" w:rsidR="00A00149" w:rsidRPr="00A22460" w:rsidRDefault="00A00149" w:rsidP="00B512CC">
      <w:pPr>
        <w:spacing w:after="0"/>
        <w:ind w:left="992" w:hanging="992"/>
        <w:jc w:val="both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b/>
          <w:sz w:val="24"/>
          <w:szCs w:val="24"/>
        </w:rPr>
        <w:t>Tabela 4.</w:t>
      </w:r>
      <w:r w:rsidRPr="00A22460">
        <w:rPr>
          <w:rFonts w:ascii="Times New Roman" w:hAnsi="Times New Roman"/>
          <w:sz w:val="24"/>
          <w:szCs w:val="24"/>
        </w:rPr>
        <w:t xml:space="preserve"> Teste de média para as variáveis altura de planta (AP), diâmetro de caule (DC), número de folha (NF), área foliar (AF), em função dos tratamentos, Safra 2024, Rio Verde – GO</w:t>
      </w:r>
    </w:p>
    <w:tbl>
      <w:tblPr>
        <w:tblW w:w="8647" w:type="dxa"/>
        <w:jc w:val="center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398"/>
        <w:gridCol w:w="1368"/>
        <w:gridCol w:w="1368"/>
        <w:gridCol w:w="1628"/>
        <w:gridCol w:w="1885"/>
      </w:tblGrid>
      <w:tr w:rsidR="00A22460" w:rsidRPr="00B512CC" w14:paraId="6C31846A" w14:textId="77777777" w:rsidTr="000A312E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bottom w:val="nil"/>
            </w:tcBorders>
            <w:vAlign w:val="center"/>
          </w:tcPr>
          <w:p w14:paraId="6F388828" w14:textId="77777777" w:rsidR="00A5264B" w:rsidRPr="00B512CC" w:rsidRDefault="00A5264B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B512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Tratamentos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CC5C04" w14:textId="77777777" w:rsidR="00A5264B" w:rsidRPr="00B512CC" w:rsidRDefault="00A5264B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B512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AP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F2FE76" w14:textId="77777777" w:rsidR="00A5264B" w:rsidRPr="00B512CC" w:rsidRDefault="00A5264B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B512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DC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18DC1F" w14:textId="77777777" w:rsidR="00A5264B" w:rsidRPr="00B512CC" w:rsidRDefault="00A5264B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B512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NF</w:t>
            </w:r>
          </w:p>
        </w:tc>
        <w:tc>
          <w:tcPr>
            <w:tcW w:w="18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C15047" w14:textId="77777777" w:rsidR="00A5264B" w:rsidRPr="00B512CC" w:rsidRDefault="00A5264B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B512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AF</w:t>
            </w:r>
          </w:p>
        </w:tc>
      </w:tr>
      <w:tr w:rsidR="00A22460" w:rsidRPr="00B512CC" w14:paraId="10900171" w14:textId="77777777" w:rsidTr="000A312E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bottom w:val="nil"/>
            </w:tcBorders>
            <w:vAlign w:val="center"/>
          </w:tcPr>
          <w:p w14:paraId="42B1C16E" w14:textId="77777777" w:rsidR="00A5264B" w:rsidRPr="00B512CC" w:rsidRDefault="00A5264B" w:rsidP="00AA5D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567A98" w14:textId="77777777" w:rsidR="00A5264B" w:rsidRPr="00B512CC" w:rsidRDefault="00A5264B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B512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cm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A9E6B1" w14:textId="77777777" w:rsidR="00A5264B" w:rsidRPr="00B512CC" w:rsidRDefault="00A5264B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B512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mm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040D75" w14:textId="77777777" w:rsidR="00A5264B" w:rsidRPr="00B512CC" w:rsidRDefault="00A5264B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8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8536B2" w14:textId="77777777" w:rsidR="00A5264B" w:rsidRPr="00B512CC" w:rsidRDefault="00A5264B" w:rsidP="00AA5D66">
            <w:pPr>
              <w:widowControl w:val="0"/>
              <w:tabs>
                <w:tab w:val="center" w:pos="1057"/>
                <w:tab w:val="right" w:pos="2114"/>
              </w:tabs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B512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cm</w:t>
            </w:r>
            <w:r w:rsidRPr="00B512CC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pt-BR"/>
              </w:rPr>
              <w:t>2</w:t>
            </w:r>
          </w:p>
        </w:tc>
      </w:tr>
      <w:tr w:rsidR="00A22460" w:rsidRPr="00B512CC" w14:paraId="2BF170D6" w14:textId="77777777" w:rsidTr="000A312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14:paraId="7F93F70E" w14:textId="77777777" w:rsidR="00A5264B" w:rsidRPr="00B512CC" w:rsidRDefault="00A5264B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512C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Micro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6A79DE54" w14:textId="77777777" w:rsidR="00A5264B" w:rsidRPr="00B512CC" w:rsidRDefault="00A5264B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512C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19,87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60531B4C" w14:textId="77777777" w:rsidR="00A5264B" w:rsidRPr="00B512CC" w:rsidRDefault="00A5264B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512C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3,84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6F4B2A31" w14:textId="77777777" w:rsidR="00A5264B" w:rsidRPr="00B512CC" w:rsidRDefault="00A5264B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512C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11,23 </w:t>
            </w:r>
            <w:proofErr w:type="spellStart"/>
            <w:r w:rsidRPr="00B512C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ab</w:t>
            </w:r>
            <w:proofErr w:type="spellEnd"/>
          </w:p>
        </w:tc>
        <w:tc>
          <w:tcPr>
            <w:tcW w:w="1885" w:type="dxa"/>
            <w:tcBorders>
              <w:top w:val="single" w:sz="4" w:space="0" w:color="000000"/>
            </w:tcBorders>
          </w:tcPr>
          <w:p w14:paraId="319E961C" w14:textId="77777777" w:rsidR="00A5264B" w:rsidRPr="00B512CC" w:rsidRDefault="00A5264B" w:rsidP="00AA5D66">
            <w:pPr>
              <w:widowControl w:val="0"/>
              <w:tabs>
                <w:tab w:val="center" w:pos="1057"/>
                <w:tab w:val="right" w:pos="2114"/>
              </w:tabs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512C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575,95 a</w:t>
            </w:r>
          </w:p>
        </w:tc>
      </w:tr>
      <w:tr w:rsidR="00A22460" w:rsidRPr="00B512CC" w14:paraId="42E19E83" w14:textId="77777777" w:rsidTr="000A312E">
        <w:trPr>
          <w:trHeight w:val="20"/>
          <w:jc w:val="center"/>
        </w:trPr>
        <w:tc>
          <w:tcPr>
            <w:tcW w:w="0" w:type="auto"/>
            <w:vAlign w:val="center"/>
          </w:tcPr>
          <w:p w14:paraId="68829237" w14:textId="77777777" w:rsidR="00A5264B" w:rsidRPr="00B512CC" w:rsidRDefault="00A5264B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spellStart"/>
            <w:r w:rsidRPr="00B512C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Bio</w:t>
            </w:r>
            <w:proofErr w:type="spellEnd"/>
          </w:p>
        </w:tc>
        <w:tc>
          <w:tcPr>
            <w:tcW w:w="0" w:type="auto"/>
          </w:tcPr>
          <w:p w14:paraId="743024F7" w14:textId="77777777" w:rsidR="00A5264B" w:rsidRPr="00B512CC" w:rsidRDefault="00A5264B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512C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20,87</w:t>
            </w:r>
          </w:p>
        </w:tc>
        <w:tc>
          <w:tcPr>
            <w:tcW w:w="0" w:type="auto"/>
          </w:tcPr>
          <w:p w14:paraId="76070187" w14:textId="77777777" w:rsidR="00A5264B" w:rsidRPr="00B512CC" w:rsidRDefault="00A5264B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512C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3,92</w:t>
            </w:r>
          </w:p>
        </w:tc>
        <w:tc>
          <w:tcPr>
            <w:tcW w:w="0" w:type="auto"/>
          </w:tcPr>
          <w:p w14:paraId="05D2842B" w14:textId="77777777" w:rsidR="00A5264B" w:rsidRPr="00B512CC" w:rsidRDefault="00A5264B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512C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11,63 a</w:t>
            </w:r>
          </w:p>
        </w:tc>
        <w:tc>
          <w:tcPr>
            <w:tcW w:w="1885" w:type="dxa"/>
          </w:tcPr>
          <w:p w14:paraId="78251D4A" w14:textId="77777777" w:rsidR="00A5264B" w:rsidRPr="00B512CC" w:rsidRDefault="00A5264B" w:rsidP="00AA5D66">
            <w:pPr>
              <w:widowControl w:val="0"/>
              <w:tabs>
                <w:tab w:val="center" w:pos="1057"/>
                <w:tab w:val="right" w:pos="2114"/>
              </w:tabs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512C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575,35 a</w:t>
            </w:r>
          </w:p>
        </w:tc>
      </w:tr>
      <w:tr w:rsidR="00A22460" w:rsidRPr="00B512CC" w14:paraId="31744CF7" w14:textId="77777777" w:rsidTr="000A312E">
        <w:trPr>
          <w:trHeight w:val="20"/>
          <w:jc w:val="center"/>
        </w:trPr>
        <w:tc>
          <w:tcPr>
            <w:tcW w:w="0" w:type="auto"/>
            <w:vAlign w:val="center"/>
          </w:tcPr>
          <w:p w14:paraId="648AE087" w14:textId="77777777" w:rsidR="00A5264B" w:rsidRPr="00B512CC" w:rsidRDefault="00A5264B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512C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Micro + </w:t>
            </w:r>
            <w:proofErr w:type="spellStart"/>
            <w:r w:rsidRPr="00B512C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Bio</w:t>
            </w:r>
            <w:proofErr w:type="spellEnd"/>
          </w:p>
        </w:tc>
        <w:tc>
          <w:tcPr>
            <w:tcW w:w="0" w:type="auto"/>
          </w:tcPr>
          <w:p w14:paraId="3ED48C2F" w14:textId="77777777" w:rsidR="00A5264B" w:rsidRPr="00B512CC" w:rsidRDefault="00A5264B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512C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21,64</w:t>
            </w:r>
          </w:p>
        </w:tc>
        <w:tc>
          <w:tcPr>
            <w:tcW w:w="0" w:type="auto"/>
          </w:tcPr>
          <w:p w14:paraId="7B12CB8D" w14:textId="77777777" w:rsidR="00A5264B" w:rsidRPr="00B512CC" w:rsidRDefault="00A5264B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512C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4,07</w:t>
            </w:r>
          </w:p>
        </w:tc>
        <w:tc>
          <w:tcPr>
            <w:tcW w:w="0" w:type="auto"/>
          </w:tcPr>
          <w:p w14:paraId="1B17D051" w14:textId="77777777" w:rsidR="00A5264B" w:rsidRPr="00B512CC" w:rsidRDefault="00A5264B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512C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10,61 </w:t>
            </w:r>
            <w:proofErr w:type="spellStart"/>
            <w:r w:rsidRPr="00B512C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ab</w:t>
            </w:r>
            <w:proofErr w:type="spellEnd"/>
          </w:p>
        </w:tc>
        <w:tc>
          <w:tcPr>
            <w:tcW w:w="1885" w:type="dxa"/>
          </w:tcPr>
          <w:p w14:paraId="7B9F8312" w14:textId="77777777" w:rsidR="00A5264B" w:rsidRPr="00B512CC" w:rsidRDefault="00A5264B" w:rsidP="00AA5D66">
            <w:pPr>
              <w:widowControl w:val="0"/>
              <w:tabs>
                <w:tab w:val="center" w:pos="1057"/>
                <w:tab w:val="right" w:pos="2114"/>
              </w:tabs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512C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489,10 a</w:t>
            </w:r>
          </w:p>
        </w:tc>
      </w:tr>
      <w:tr w:rsidR="00A22460" w:rsidRPr="00B512CC" w14:paraId="71176841" w14:textId="77777777" w:rsidTr="000A312E">
        <w:trPr>
          <w:trHeight w:val="20"/>
          <w:jc w:val="center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55B96A48" w14:textId="77777777" w:rsidR="00A5264B" w:rsidRPr="00B512CC" w:rsidRDefault="00A5264B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512C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Testemunha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452F4218" w14:textId="77777777" w:rsidR="00A5264B" w:rsidRPr="00B512CC" w:rsidRDefault="00A5264B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512C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23,26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410768D0" w14:textId="77777777" w:rsidR="00A5264B" w:rsidRPr="00B512CC" w:rsidRDefault="00A5264B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512C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4,09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544CC216" w14:textId="77777777" w:rsidR="00A5264B" w:rsidRPr="00B512CC" w:rsidRDefault="00A5264B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512C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9,56 b</w:t>
            </w:r>
          </w:p>
        </w:tc>
        <w:tc>
          <w:tcPr>
            <w:tcW w:w="1885" w:type="dxa"/>
            <w:tcBorders>
              <w:bottom w:val="single" w:sz="4" w:space="0" w:color="000000"/>
            </w:tcBorders>
          </w:tcPr>
          <w:p w14:paraId="1FBEAD9F" w14:textId="77777777" w:rsidR="00A5264B" w:rsidRPr="00B512CC" w:rsidRDefault="00A5264B" w:rsidP="00AA5D66">
            <w:pPr>
              <w:widowControl w:val="0"/>
              <w:tabs>
                <w:tab w:val="center" w:pos="1057"/>
                <w:tab w:val="right" w:pos="2114"/>
              </w:tabs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512C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426,79 a</w:t>
            </w:r>
          </w:p>
        </w:tc>
      </w:tr>
      <w:tr w:rsidR="00A22460" w:rsidRPr="00B512CC" w14:paraId="494B2640" w14:textId="77777777" w:rsidTr="000A312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bottom w:val="nil"/>
            </w:tcBorders>
            <w:vAlign w:val="center"/>
          </w:tcPr>
          <w:p w14:paraId="2A0767FF" w14:textId="77777777" w:rsidR="00A5264B" w:rsidRPr="00B512CC" w:rsidRDefault="00A5264B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512C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DMS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  <w:vAlign w:val="center"/>
          </w:tcPr>
          <w:p w14:paraId="792D6824" w14:textId="77777777" w:rsidR="00A5264B" w:rsidRPr="00B512CC" w:rsidRDefault="00A5264B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512C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4,1658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  <w:vAlign w:val="center"/>
          </w:tcPr>
          <w:p w14:paraId="5E012A5B" w14:textId="77777777" w:rsidR="00A5264B" w:rsidRPr="00B512CC" w:rsidRDefault="00A5264B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512C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0,5029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  <w:vAlign w:val="center"/>
          </w:tcPr>
          <w:p w14:paraId="6DC2D9DF" w14:textId="77777777" w:rsidR="00A5264B" w:rsidRPr="00B512CC" w:rsidRDefault="00A5264B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512C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1,8283</w:t>
            </w:r>
          </w:p>
        </w:tc>
        <w:tc>
          <w:tcPr>
            <w:tcW w:w="1885" w:type="dxa"/>
            <w:tcBorders>
              <w:top w:val="single" w:sz="4" w:space="0" w:color="000000"/>
              <w:bottom w:val="nil"/>
            </w:tcBorders>
            <w:vAlign w:val="center"/>
          </w:tcPr>
          <w:p w14:paraId="672D20AB" w14:textId="77777777" w:rsidR="00A5264B" w:rsidRPr="00B512CC" w:rsidRDefault="00A5264B" w:rsidP="00AA5D66">
            <w:pPr>
              <w:widowControl w:val="0"/>
              <w:tabs>
                <w:tab w:val="center" w:pos="1057"/>
                <w:tab w:val="right" w:pos="2114"/>
              </w:tabs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512C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178,4491</w:t>
            </w:r>
          </w:p>
        </w:tc>
      </w:tr>
      <w:tr w:rsidR="00A22460" w:rsidRPr="00B512CC" w14:paraId="375C6A79" w14:textId="77777777" w:rsidTr="000A312E">
        <w:trPr>
          <w:trHeight w:val="20"/>
          <w:jc w:val="center"/>
        </w:trPr>
        <w:tc>
          <w:tcPr>
            <w:tcW w:w="0" w:type="auto"/>
            <w:tcBorders>
              <w:top w:val="nil"/>
              <w:bottom w:val="single" w:sz="4" w:space="0" w:color="000000"/>
            </w:tcBorders>
            <w:vAlign w:val="center"/>
          </w:tcPr>
          <w:p w14:paraId="63072ED4" w14:textId="77777777" w:rsidR="00A5264B" w:rsidRPr="00B512CC" w:rsidRDefault="00A5264B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512C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Erro padrão</w:t>
            </w:r>
          </w:p>
        </w:tc>
        <w:tc>
          <w:tcPr>
            <w:tcW w:w="0" w:type="auto"/>
            <w:tcBorders>
              <w:top w:val="nil"/>
              <w:bottom w:val="single" w:sz="4" w:space="0" w:color="000000"/>
            </w:tcBorders>
            <w:vAlign w:val="center"/>
          </w:tcPr>
          <w:p w14:paraId="259C6318" w14:textId="77777777" w:rsidR="00A5264B" w:rsidRPr="00B512CC" w:rsidRDefault="00A5264B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512C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1,1144</w:t>
            </w:r>
          </w:p>
        </w:tc>
        <w:tc>
          <w:tcPr>
            <w:tcW w:w="0" w:type="auto"/>
            <w:tcBorders>
              <w:top w:val="nil"/>
              <w:bottom w:val="single" w:sz="4" w:space="0" w:color="000000"/>
            </w:tcBorders>
            <w:vAlign w:val="center"/>
          </w:tcPr>
          <w:p w14:paraId="7B924EA8" w14:textId="77777777" w:rsidR="00A5264B" w:rsidRPr="00B512CC" w:rsidRDefault="00A5264B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512C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0,1345</w:t>
            </w:r>
          </w:p>
        </w:tc>
        <w:tc>
          <w:tcPr>
            <w:tcW w:w="0" w:type="auto"/>
            <w:tcBorders>
              <w:top w:val="nil"/>
              <w:bottom w:val="single" w:sz="4" w:space="0" w:color="000000"/>
            </w:tcBorders>
            <w:vAlign w:val="center"/>
          </w:tcPr>
          <w:p w14:paraId="36E0730D" w14:textId="77777777" w:rsidR="00A5264B" w:rsidRPr="00B512CC" w:rsidRDefault="00A5264B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512C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0,4891</w:t>
            </w:r>
          </w:p>
        </w:tc>
        <w:tc>
          <w:tcPr>
            <w:tcW w:w="1885" w:type="dxa"/>
            <w:tcBorders>
              <w:top w:val="nil"/>
              <w:bottom w:val="single" w:sz="4" w:space="0" w:color="000000"/>
            </w:tcBorders>
            <w:vAlign w:val="center"/>
          </w:tcPr>
          <w:p w14:paraId="5BAA827A" w14:textId="77777777" w:rsidR="00A5264B" w:rsidRPr="00B512CC" w:rsidRDefault="00A5264B" w:rsidP="00AA5D6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512C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47,7374</w:t>
            </w:r>
          </w:p>
        </w:tc>
      </w:tr>
    </w:tbl>
    <w:p w14:paraId="19687D23" w14:textId="59368418" w:rsidR="00904D85" w:rsidRPr="00A22460" w:rsidRDefault="00904D85" w:rsidP="00AA5D66">
      <w:pPr>
        <w:widowControl w:val="0"/>
        <w:suppressAutoHyphens w:val="0"/>
        <w:spacing w:after="0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A22460">
        <w:rPr>
          <w:rFonts w:ascii="Times New Roman" w:eastAsia="Times New Roman" w:hAnsi="Times New Roman"/>
          <w:sz w:val="20"/>
          <w:szCs w:val="20"/>
          <w:lang w:eastAsia="pt-BR"/>
        </w:rPr>
        <w:t xml:space="preserve">Médias seguidas de mesma letra nas colunas não diferem entre si segundo teste </w:t>
      </w:r>
      <w:proofErr w:type="spellStart"/>
      <w:r w:rsidRPr="00A22460">
        <w:rPr>
          <w:rFonts w:ascii="Times New Roman" w:eastAsia="Times New Roman" w:hAnsi="Times New Roman"/>
          <w:sz w:val="20"/>
          <w:szCs w:val="20"/>
          <w:lang w:eastAsia="pt-BR"/>
        </w:rPr>
        <w:t>Tukey</w:t>
      </w:r>
      <w:proofErr w:type="spellEnd"/>
      <w:r w:rsidRPr="00A22460">
        <w:rPr>
          <w:rFonts w:ascii="Times New Roman" w:eastAsia="Times New Roman" w:hAnsi="Times New Roman"/>
          <w:sz w:val="20"/>
          <w:szCs w:val="20"/>
          <w:lang w:eastAsia="pt-BR"/>
        </w:rPr>
        <w:t xml:space="preserve"> (</w:t>
      </w:r>
      <w:r w:rsidRPr="00A22460">
        <w:rPr>
          <w:rFonts w:ascii="Times New Roman" w:eastAsia="Times New Roman" w:hAnsi="Times New Roman"/>
          <w:i/>
          <w:sz w:val="20"/>
          <w:szCs w:val="20"/>
          <w:lang w:eastAsia="pt-BR"/>
        </w:rPr>
        <w:t>p&lt;0,05</w:t>
      </w:r>
      <w:r w:rsidRPr="00A22460">
        <w:rPr>
          <w:rFonts w:ascii="Times New Roman" w:eastAsia="Times New Roman" w:hAnsi="Times New Roman"/>
          <w:sz w:val="20"/>
          <w:szCs w:val="20"/>
          <w:lang w:eastAsia="pt-BR"/>
        </w:rPr>
        <w:t xml:space="preserve">). Micro – </w:t>
      </w:r>
      <w:r w:rsidR="005C3603" w:rsidRPr="00A22460">
        <w:rPr>
          <w:rFonts w:ascii="Times New Roman" w:eastAsia="Times New Roman" w:hAnsi="Times New Roman"/>
          <w:sz w:val="20"/>
          <w:szCs w:val="20"/>
          <w:lang w:eastAsia="pt-BR"/>
        </w:rPr>
        <w:t xml:space="preserve">Bioestimulante </w:t>
      </w:r>
      <w:r w:rsidRPr="00A22460">
        <w:rPr>
          <w:rFonts w:ascii="Times New Roman" w:eastAsia="Times New Roman" w:hAnsi="Times New Roman"/>
          <w:sz w:val="20"/>
          <w:szCs w:val="20"/>
          <w:lang w:eastAsia="pt-BR"/>
        </w:rPr>
        <w:t>a base de microrganismos (</w:t>
      </w:r>
      <w:r w:rsidRPr="00A22460">
        <w:rPr>
          <w:rFonts w:ascii="Times New Roman" w:eastAsia="Times New Roman" w:hAnsi="Times New Roman"/>
          <w:i/>
          <w:sz w:val="20"/>
          <w:szCs w:val="20"/>
          <w:lang w:eastAsia="pt-BR"/>
        </w:rPr>
        <w:t xml:space="preserve">Bacillus </w:t>
      </w:r>
      <w:proofErr w:type="spellStart"/>
      <w:r w:rsidRPr="00A22460">
        <w:rPr>
          <w:rFonts w:ascii="Times New Roman" w:eastAsia="Times New Roman" w:hAnsi="Times New Roman"/>
          <w:i/>
          <w:sz w:val="20"/>
          <w:szCs w:val="20"/>
          <w:lang w:eastAsia="pt-BR"/>
        </w:rPr>
        <w:t>aryabhattai</w:t>
      </w:r>
      <w:proofErr w:type="spellEnd"/>
      <w:r w:rsidRPr="00A22460">
        <w:rPr>
          <w:rFonts w:ascii="Times New Roman" w:eastAsia="Times New Roman" w:hAnsi="Times New Roman"/>
          <w:sz w:val="20"/>
          <w:szCs w:val="20"/>
          <w:lang w:eastAsia="pt-BR"/>
        </w:rPr>
        <w:t xml:space="preserve"> + </w:t>
      </w:r>
      <w:r w:rsidRPr="00A22460">
        <w:rPr>
          <w:rFonts w:ascii="Times New Roman" w:eastAsia="Times New Roman" w:hAnsi="Times New Roman"/>
          <w:i/>
          <w:sz w:val="20"/>
          <w:szCs w:val="20"/>
          <w:lang w:eastAsia="pt-BR"/>
        </w:rPr>
        <w:t xml:space="preserve">Bacillus </w:t>
      </w:r>
      <w:proofErr w:type="spellStart"/>
      <w:r w:rsidRPr="00A22460">
        <w:rPr>
          <w:rFonts w:ascii="Times New Roman" w:eastAsia="Times New Roman" w:hAnsi="Times New Roman"/>
          <w:i/>
          <w:sz w:val="20"/>
          <w:szCs w:val="20"/>
          <w:lang w:eastAsia="pt-BR"/>
        </w:rPr>
        <w:t>subtilis</w:t>
      </w:r>
      <w:proofErr w:type="spellEnd"/>
      <w:r w:rsidRPr="00A22460">
        <w:rPr>
          <w:rFonts w:ascii="Times New Roman" w:eastAsia="Times New Roman" w:hAnsi="Times New Roman"/>
          <w:sz w:val="20"/>
          <w:szCs w:val="20"/>
          <w:lang w:eastAsia="pt-BR"/>
        </w:rPr>
        <w:t xml:space="preserve"> + </w:t>
      </w:r>
      <w:proofErr w:type="spellStart"/>
      <w:r w:rsidRPr="00A22460">
        <w:rPr>
          <w:rFonts w:ascii="Times New Roman" w:eastAsia="Times New Roman" w:hAnsi="Times New Roman"/>
          <w:i/>
          <w:sz w:val="20"/>
          <w:szCs w:val="20"/>
          <w:lang w:eastAsia="pt-BR"/>
        </w:rPr>
        <w:t>Trichoderma</w:t>
      </w:r>
      <w:proofErr w:type="spellEnd"/>
      <w:r w:rsidRPr="00A22460">
        <w:rPr>
          <w:rFonts w:ascii="Times New Roman" w:eastAsia="Times New Roman" w:hAnsi="Times New Roman"/>
          <w:i/>
          <w:sz w:val="20"/>
          <w:szCs w:val="20"/>
          <w:lang w:eastAsia="pt-BR"/>
        </w:rPr>
        <w:t xml:space="preserve"> </w:t>
      </w:r>
      <w:proofErr w:type="spellStart"/>
      <w:r w:rsidRPr="00A22460">
        <w:rPr>
          <w:rFonts w:ascii="Times New Roman" w:eastAsia="Times New Roman" w:hAnsi="Times New Roman"/>
          <w:i/>
          <w:sz w:val="20"/>
          <w:szCs w:val="20"/>
          <w:lang w:eastAsia="pt-BR"/>
        </w:rPr>
        <w:t>asperellum</w:t>
      </w:r>
      <w:proofErr w:type="spellEnd"/>
      <w:r w:rsidRPr="00A22460">
        <w:rPr>
          <w:rFonts w:ascii="Times New Roman" w:eastAsia="Times New Roman" w:hAnsi="Times New Roman"/>
          <w:i/>
          <w:sz w:val="20"/>
          <w:szCs w:val="20"/>
          <w:lang w:eastAsia="pt-BR"/>
        </w:rPr>
        <w:t xml:space="preserve">; </w:t>
      </w:r>
      <w:proofErr w:type="spellStart"/>
      <w:r w:rsidRPr="00A22460">
        <w:rPr>
          <w:rFonts w:ascii="Times New Roman" w:eastAsia="Times New Roman" w:hAnsi="Times New Roman"/>
          <w:sz w:val="20"/>
          <w:szCs w:val="20"/>
          <w:lang w:eastAsia="pt-BR"/>
        </w:rPr>
        <w:t>Bio</w:t>
      </w:r>
      <w:proofErr w:type="spellEnd"/>
      <w:r w:rsidRPr="00A22460">
        <w:rPr>
          <w:rFonts w:ascii="Times New Roman" w:eastAsia="Times New Roman" w:hAnsi="Times New Roman"/>
          <w:sz w:val="20"/>
          <w:szCs w:val="20"/>
          <w:lang w:eastAsia="pt-BR"/>
        </w:rPr>
        <w:t xml:space="preserve"> – Biofertilizante a base de extrato de algas (</w:t>
      </w:r>
      <w:proofErr w:type="spellStart"/>
      <w:r w:rsidRPr="00A22460">
        <w:rPr>
          <w:rFonts w:ascii="Times New Roman" w:eastAsia="Times New Roman" w:hAnsi="Times New Roman"/>
          <w:i/>
          <w:sz w:val="20"/>
          <w:szCs w:val="20"/>
          <w:lang w:eastAsia="pt-BR"/>
        </w:rPr>
        <w:t>Ascophyllum</w:t>
      </w:r>
      <w:proofErr w:type="spellEnd"/>
      <w:r w:rsidRPr="00A22460">
        <w:rPr>
          <w:rFonts w:ascii="Times New Roman" w:eastAsia="Times New Roman" w:hAnsi="Times New Roman"/>
          <w:sz w:val="20"/>
          <w:szCs w:val="20"/>
          <w:lang w:eastAsia="pt-BR"/>
        </w:rPr>
        <w:t xml:space="preserve"> </w:t>
      </w:r>
      <w:proofErr w:type="spellStart"/>
      <w:r w:rsidRPr="00A22460">
        <w:rPr>
          <w:rFonts w:ascii="Times New Roman" w:eastAsia="Times New Roman" w:hAnsi="Times New Roman"/>
          <w:i/>
          <w:sz w:val="20"/>
          <w:szCs w:val="20"/>
          <w:lang w:eastAsia="pt-BR"/>
        </w:rPr>
        <w:t>nodusum</w:t>
      </w:r>
      <w:proofErr w:type="spellEnd"/>
      <w:r w:rsidRPr="00A22460">
        <w:rPr>
          <w:rFonts w:ascii="Times New Roman" w:eastAsia="Times New Roman" w:hAnsi="Times New Roman"/>
          <w:sz w:val="20"/>
          <w:szCs w:val="20"/>
          <w:lang w:eastAsia="pt-BR"/>
        </w:rPr>
        <w:t xml:space="preserve"> + </w:t>
      </w:r>
      <w:proofErr w:type="spellStart"/>
      <w:r w:rsidRPr="00A22460">
        <w:rPr>
          <w:rFonts w:ascii="Times New Roman" w:eastAsia="Times New Roman" w:hAnsi="Times New Roman"/>
          <w:i/>
          <w:sz w:val="20"/>
          <w:szCs w:val="20"/>
          <w:lang w:eastAsia="pt-BR"/>
        </w:rPr>
        <w:t>Kappaphycus</w:t>
      </w:r>
      <w:proofErr w:type="spellEnd"/>
      <w:r w:rsidRPr="00A22460">
        <w:rPr>
          <w:rFonts w:ascii="Times New Roman" w:eastAsia="Times New Roman" w:hAnsi="Times New Roman"/>
          <w:sz w:val="20"/>
          <w:szCs w:val="20"/>
          <w:lang w:eastAsia="pt-BR"/>
        </w:rPr>
        <w:t xml:space="preserve"> </w:t>
      </w:r>
      <w:proofErr w:type="spellStart"/>
      <w:r w:rsidRPr="00A22460">
        <w:rPr>
          <w:rFonts w:ascii="Times New Roman" w:eastAsia="Times New Roman" w:hAnsi="Times New Roman"/>
          <w:i/>
          <w:sz w:val="20"/>
          <w:szCs w:val="20"/>
          <w:lang w:eastAsia="pt-BR"/>
        </w:rPr>
        <w:t>alvarezii</w:t>
      </w:r>
      <w:proofErr w:type="spellEnd"/>
      <w:r w:rsidRPr="00A22460">
        <w:rPr>
          <w:rFonts w:ascii="Times New Roman" w:eastAsia="Times New Roman" w:hAnsi="Times New Roman"/>
          <w:sz w:val="20"/>
          <w:szCs w:val="20"/>
          <w:lang w:eastAsia="pt-BR"/>
        </w:rPr>
        <w:t>) + complexo de aminoácidos (Prolina + arginina).</w:t>
      </w:r>
    </w:p>
    <w:p w14:paraId="08F548AB" w14:textId="72FBE895" w:rsidR="005102E9" w:rsidRPr="00A22460" w:rsidRDefault="005102E9" w:rsidP="00AA5D6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22460">
        <w:rPr>
          <w:rFonts w:ascii="Times New Roman" w:hAnsi="Times New Roman"/>
          <w:b/>
          <w:bCs/>
          <w:sz w:val="20"/>
          <w:szCs w:val="20"/>
        </w:rPr>
        <w:t>Fonte:</w:t>
      </w:r>
      <w:r w:rsidRPr="00A22460">
        <w:rPr>
          <w:rFonts w:ascii="Times New Roman" w:hAnsi="Times New Roman"/>
          <w:sz w:val="20"/>
          <w:szCs w:val="20"/>
        </w:rPr>
        <w:t xml:space="preserve"> Autores (2024)</w:t>
      </w:r>
    </w:p>
    <w:p w14:paraId="2264497A" w14:textId="6C323A06" w:rsidR="00C70EBA" w:rsidRDefault="00C70EBA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DE8DF6E" w14:textId="77777777" w:rsidR="000A312E" w:rsidRPr="00A22460" w:rsidRDefault="000A312E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AABEDF8" w14:textId="77777777" w:rsidR="000A312E" w:rsidRDefault="000A312E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  <w:sectPr w:rsidR="000A312E" w:rsidSect="000A312E">
          <w:type w:val="continuous"/>
          <w:pgSz w:w="11906" w:h="16838"/>
          <w:pgMar w:top="1701" w:right="1134" w:bottom="1701" w:left="1701" w:header="720" w:footer="720" w:gutter="0"/>
          <w:cols w:space="720"/>
          <w:titlePg/>
          <w:docGrid w:linePitch="360"/>
        </w:sectPr>
      </w:pPr>
    </w:p>
    <w:p w14:paraId="5C16FF3C" w14:textId="2F6BE1E3" w:rsidR="000A312E" w:rsidRDefault="000B7881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  <w:sectPr w:rsidR="000A312E" w:rsidSect="00665729">
          <w:headerReference w:type="first" r:id="rId17"/>
          <w:type w:val="continuous"/>
          <w:pgSz w:w="11906" w:h="16838"/>
          <w:pgMar w:top="1701" w:right="1134" w:bottom="1701" w:left="1701" w:header="709" w:footer="709" w:gutter="0"/>
          <w:cols w:num="2" w:space="567"/>
          <w:titlePg/>
          <w:docGrid w:linePitch="360"/>
        </w:sectPr>
      </w:pPr>
      <w:r w:rsidRPr="00A22460">
        <w:rPr>
          <w:rFonts w:ascii="Times New Roman" w:hAnsi="Times New Roman"/>
          <w:sz w:val="24"/>
          <w:szCs w:val="24"/>
        </w:rPr>
        <w:lastRenderedPageBreak/>
        <w:t xml:space="preserve">A resposta das plantas às diferentes reposições hídricas para as variáveis altura da planta, diâmetro do caule, número de folhas e área foliar, </w:t>
      </w:r>
      <w:r w:rsidR="005E6C3E" w:rsidRPr="00A22460">
        <w:rPr>
          <w:rFonts w:ascii="Times New Roman" w:hAnsi="Times New Roman"/>
          <w:sz w:val="24"/>
          <w:szCs w:val="24"/>
        </w:rPr>
        <w:t xml:space="preserve">possibilitaram </w:t>
      </w:r>
      <w:r w:rsidRPr="00A22460">
        <w:rPr>
          <w:rFonts w:ascii="Times New Roman" w:hAnsi="Times New Roman"/>
          <w:sz w:val="24"/>
          <w:szCs w:val="24"/>
        </w:rPr>
        <w:t xml:space="preserve">uma visualização do impacto dos níveis de dosagem hídrica na morfologia do feijoeiro (Figura </w:t>
      </w:r>
      <w:r w:rsidR="000A312E">
        <w:rPr>
          <w:rFonts w:ascii="Times New Roman" w:hAnsi="Times New Roman"/>
          <w:sz w:val="24"/>
          <w:szCs w:val="24"/>
        </w:rPr>
        <w:t>2</w:t>
      </w:r>
      <w:r w:rsidRPr="00A22460">
        <w:rPr>
          <w:rFonts w:ascii="Times New Roman" w:hAnsi="Times New Roman"/>
          <w:sz w:val="24"/>
          <w:szCs w:val="24"/>
        </w:rPr>
        <w:t xml:space="preserve">). Na variável altura de planta, tivemos o ponto máximo de eficiência 98% de reposição hídrica, tendo um incremento de 60,4% (24,06 cm) (Figura </w:t>
      </w:r>
      <w:r w:rsidR="000A312E">
        <w:rPr>
          <w:rFonts w:ascii="Times New Roman" w:hAnsi="Times New Roman"/>
          <w:sz w:val="24"/>
          <w:szCs w:val="24"/>
        </w:rPr>
        <w:t>2</w:t>
      </w:r>
      <w:r w:rsidRPr="00A22460">
        <w:rPr>
          <w:rFonts w:ascii="Times New Roman" w:hAnsi="Times New Roman"/>
          <w:sz w:val="24"/>
          <w:szCs w:val="24"/>
        </w:rPr>
        <w:t xml:space="preserve">A). Na variável diâmetro de caule, tivemos o ponto máximo de eficiência 94,16% de reposição hídrica, tendo um incremento de 5,14mm (30,86%) (Figura </w:t>
      </w:r>
      <w:r w:rsidR="000A312E">
        <w:rPr>
          <w:rFonts w:ascii="Times New Roman" w:hAnsi="Times New Roman"/>
          <w:sz w:val="24"/>
          <w:szCs w:val="24"/>
        </w:rPr>
        <w:t>2</w:t>
      </w:r>
      <w:r w:rsidRPr="00A22460">
        <w:rPr>
          <w:rFonts w:ascii="Times New Roman" w:hAnsi="Times New Roman"/>
          <w:sz w:val="24"/>
          <w:szCs w:val="24"/>
        </w:rPr>
        <w:t xml:space="preserve">B). O número de folhas apresentou um incremento com 100% de </w:t>
      </w:r>
      <w:r w:rsidRPr="00A22460">
        <w:rPr>
          <w:rFonts w:ascii="Times New Roman" w:hAnsi="Times New Roman"/>
          <w:sz w:val="24"/>
          <w:szCs w:val="24"/>
        </w:rPr>
        <w:t>reposição hídrica, resultando em 12,16 folhas, na lâmina de 100%</w:t>
      </w:r>
      <w:r w:rsidR="005E6C3E" w:rsidRPr="00A22460">
        <w:rPr>
          <w:rFonts w:ascii="Times New Roman" w:hAnsi="Times New Roman"/>
          <w:sz w:val="24"/>
          <w:szCs w:val="24"/>
        </w:rPr>
        <w:t xml:space="preserve"> de </w:t>
      </w:r>
      <w:r w:rsidRPr="00A22460">
        <w:rPr>
          <w:rFonts w:ascii="Times New Roman" w:hAnsi="Times New Roman"/>
          <w:sz w:val="24"/>
          <w:szCs w:val="24"/>
        </w:rPr>
        <w:t>reposição hídrica, tendo um incremento de 4</w:t>
      </w:r>
      <w:r w:rsidR="005E6C3E" w:rsidRPr="00A22460">
        <w:rPr>
          <w:rFonts w:ascii="Times New Roman" w:hAnsi="Times New Roman"/>
          <w:sz w:val="24"/>
          <w:szCs w:val="24"/>
        </w:rPr>
        <w:t>,</w:t>
      </w:r>
      <w:r w:rsidRPr="00A22460">
        <w:rPr>
          <w:rFonts w:ascii="Times New Roman" w:hAnsi="Times New Roman"/>
          <w:sz w:val="24"/>
          <w:szCs w:val="24"/>
        </w:rPr>
        <w:t>50 folhas para cada lâmina de 25%. A cada incremento de 25% na lâmina de água, observou-se um aumento gradual no número de folhas, conforme descrito pela equação do gráfico</w:t>
      </w:r>
      <w:r w:rsidRPr="00A22460" w:rsidDel="003B7120">
        <w:rPr>
          <w:rFonts w:ascii="Times New Roman" w:hAnsi="Times New Roman"/>
          <w:sz w:val="24"/>
          <w:szCs w:val="24"/>
        </w:rPr>
        <w:t xml:space="preserve"> </w:t>
      </w:r>
      <w:r w:rsidRPr="00A22460">
        <w:rPr>
          <w:rFonts w:ascii="Times New Roman" w:hAnsi="Times New Roman"/>
          <w:sz w:val="24"/>
          <w:szCs w:val="24"/>
        </w:rPr>
        <w:t xml:space="preserve">(Figura </w:t>
      </w:r>
      <w:r w:rsidR="000A312E">
        <w:rPr>
          <w:rFonts w:ascii="Times New Roman" w:hAnsi="Times New Roman"/>
          <w:sz w:val="24"/>
          <w:szCs w:val="24"/>
        </w:rPr>
        <w:t>2</w:t>
      </w:r>
      <w:r w:rsidRPr="00A22460">
        <w:rPr>
          <w:rFonts w:ascii="Times New Roman" w:hAnsi="Times New Roman"/>
          <w:sz w:val="24"/>
          <w:szCs w:val="24"/>
        </w:rPr>
        <w:t>C). A área foliar apresentou um aumento com 100% de reposição hídrica, resultando em 657,04 cm². Observou-se que, para cada incremento de 25% na lâmina de água, houve um aumento progressivo na área foliar, conforme indicado pela tendência linear da equação do gráfico</w:t>
      </w:r>
      <w:r w:rsidRPr="00A22460" w:rsidDel="003B7120">
        <w:rPr>
          <w:rFonts w:ascii="Times New Roman" w:hAnsi="Times New Roman"/>
          <w:sz w:val="24"/>
          <w:szCs w:val="24"/>
        </w:rPr>
        <w:t xml:space="preserve"> </w:t>
      </w:r>
      <w:r w:rsidRPr="00A22460">
        <w:rPr>
          <w:rFonts w:ascii="Times New Roman" w:hAnsi="Times New Roman"/>
          <w:sz w:val="24"/>
          <w:szCs w:val="24"/>
        </w:rPr>
        <w:t xml:space="preserve">(Figura </w:t>
      </w:r>
      <w:r w:rsidR="000A312E">
        <w:rPr>
          <w:rFonts w:ascii="Times New Roman" w:hAnsi="Times New Roman"/>
          <w:sz w:val="24"/>
          <w:szCs w:val="24"/>
        </w:rPr>
        <w:t>2</w:t>
      </w:r>
      <w:r w:rsidRPr="00A22460">
        <w:rPr>
          <w:rFonts w:ascii="Times New Roman" w:hAnsi="Times New Roman"/>
          <w:sz w:val="24"/>
          <w:szCs w:val="24"/>
        </w:rPr>
        <w:t>D)</w:t>
      </w:r>
      <w:r w:rsidR="009D7E68" w:rsidRPr="00A22460">
        <w:rPr>
          <w:rFonts w:ascii="Times New Roman" w:hAnsi="Times New Roman"/>
          <w:sz w:val="24"/>
          <w:szCs w:val="24"/>
        </w:rPr>
        <w:t>.</w:t>
      </w:r>
    </w:p>
    <w:p w14:paraId="03CFADC1" w14:textId="10D525C7" w:rsidR="000B7881" w:rsidRPr="00A22460" w:rsidRDefault="000B7881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14971B2" w14:textId="0C6D7199" w:rsidR="000B7881" w:rsidRPr="00A22460" w:rsidRDefault="00510025" w:rsidP="002476F7">
      <w:pPr>
        <w:widowControl w:val="0"/>
        <w:suppressAutoHyphens w:val="0"/>
        <w:spacing w:after="0"/>
        <w:ind w:left="992" w:hanging="99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bookmarkStart w:id="20" w:name="_Toc182134400"/>
      <w:bookmarkStart w:id="21" w:name="_Toc182134436"/>
      <w:r w:rsidRPr="00A22460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Figura </w:t>
      </w:r>
      <w:r w:rsidR="000A312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2.</w:t>
      </w:r>
      <w:r w:rsidRPr="00A22460">
        <w:rPr>
          <w:rFonts w:ascii="Times New Roman" w:eastAsia="Times New Roman" w:hAnsi="Times New Roman"/>
          <w:sz w:val="24"/>
          <w:szCs w:val="24"/>
          <w:lang w:eastAsia="pt-BR"/>
        </w:rPr>
        <w:t xml:space="preserve"> Altura de planta (A), diâmetro de caule (B), número de folha (C) e área foliar (D), em função da reposição hídrica, Safra 2024, Rio Verde – GO</w:t>
      </w:r>
      <w:bookmarkEnd w:id="20"/>
      <w:bookmarkEnd w:id="21"/>
    </w:p>
    <w:p w14:paraId="7AD52556" w14:textId="0052AD7B" w:rsidR="002476F7" w:rsidRPr="002476F7" w:rsidRDefault="002476F7" w:rsidP="002476F7">
      <w:pPr>
        <w:widowControl w:val="0"/>
        <w:suppressAutoHyphens w:val="0"/>
        <w:spacing w:after="0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pt-BR"/>
        </w:rPr>
      </w:pPr>
      <w:r w:rsidRPr="002476F7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ED600DA" wp14:editId="613E4C6F">
            <wp:extent cx="5400000" cy="4581457"/>
            <wp:effectExtent l="0" t="0" r="0" b="0"/>
            <wp:docPr id="13382807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280702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4581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E298A" w14:textId="62B5FDC4" w:rsidR="007B253A" w:rsidRPr="00A22460" w:rsidRDefault="007B253A" w:rsidP="00AA5D66">
      <w:pPr>
        <w:widowControl w:val="0"/>
        <w:suppressAutoHyphens w:val="0"/>
        <w:spacing w:after="0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proofErr w:type="gramStart"/>
      <w:r w:rsidRPr="00A22460">
        <w:rPr>
          <w:rFonts w:ascii="Times New Roman" w:eastAsia="Times New Roman" w:hAnsi="Times New Roman"/>
          <w:sz w:val="20"/>
          <w:szCs w:val="20"/>
          <w:vertAlign w:val="superscript"/>
          <w:lang w:eastAsia="pt-BR"/>
        </w:rPr>
        <w:t>*,*</w:t>
      </w:r>
      <w:proofErr w:type="gramEnd"/>
      <w:r w:rsidRPr="00A22460">
        <w:rPr>
          <w:rFonts w:ascii="Times New Roman" w:eastAsia="Times New Roman" w:hAnsi="Times New Roman"/>
          <w:sz w:val="20"/>
          <w:szCs w:val="20"/>
          <w:vertAlign w:val="superscript"/>
          <w:lang w:eastAsia="pt-BR"/>
        </w:rPr>
        <w:t>*</w:t>
      </w:r>
      <w:r w:rsidRPr="00A22460">
        <w:rPr>
          <w:rFonts w:ascii="Times New Roman" w:eastAsia="Times New Roman" w:hAnsi="Times New Roman"/>
          <w:sz w:val="20"/>
          <w:szCs w:val="20"/>
          <w:lang w:eastAsia="pt-BR"/>
        </w:rPr>
        <w:t xml:space="preserve"> significativo respectivamente a 5 e 1% de probabilidade segundo teste F. TRAT – Bioestimulante a base de microrganismos (</w:t>
      </w:r>
      <w:r w:rsidRPr="00A22460">
        <w:rPr>
          <w:rFonts w:ascii="Times New Roman" w:eastAsia="Times New Roman" w:hAnsi="Times New Roman"/>
          <w:i/>
          <w:sz w:val="20"/>
          <w:szCs w:val="20"/>
          <w:lang w:eastAsia="pt-BR"/>
        </w:rPr>
        <w:t xml:space="preserve">Bacillus </w:t>
      </w:r>
      <w:proofErr w:type="spellStart"/>
      <w:r w:rsidRPr="00A22460">
        <w:rPr>
          <w:rFonts w:ascii="Times New Roman" w:eastAsia="Times New Roman" w:hAnsi="Times New Roman"/>
          <w:i/>
          <w:sz w:val="20"/>
          <w:szCs w:val="20"/>
          <w:lang w:eastAsia="pt-BR"/>
        </w:rPr>
        <w:t>aryabhattai</w:t>
      </w:r>
      <w:proofErr w:type="spellEnd"/>
      <w:r w:rsidRPr="00A22460">
        <w:rPr>
          <w:rFonts w:ascii="Times New Roman" w:eastAsia="Times New Roman" w:hAnsi="Times New Roman"/>
          <w:sz w:val="20"/>
          <w:szCs w:val="20"/>
          <w:lang w:eastAsia="pt-BR"/>
        </w:rPr>
        <w:t xml:space="preserve"> + </w:t>
      </w:r>
      <w:r w:rsidRPr="00A22460">
        <w:rPr>
          <w:rFonts w:ascii="Times New Roman" w:eastAsia="Times New Roman" w:hAnsi="Times New Roman"/>
          <w:i/>
          <w:sz w:val="20"/>
          <w:szCs w:val="20"/>
          <w:lang w:eastAsia="pt-BR"/>
        </w:rPr>
        <w:t xml:space="preserve">Bacillus </w:t>
      </w:r>
      <w:proofErr w:type="spellStart"/>
      <w:r w:rsidRPr="00A22460">
        <w:rPr>
          <w:rFonts w:ascii="Times New Roman" w:eastAsia="Times New Roman" w:hAnsi="Times New Roman"/>
          <w:i/>
          <w:sz w:val="20"/>
          <w:szCs w:val="20"/>
          <w:lang w:eastAsia="pt-BR"/>
        </w:rPr>
        <w:t>subtilis</w:t>
      </w:r>
      <w:proofErr w:type="spellEnd"/>
      <w:r w:rsidRPr="00A22460">
        <w:rPr>
          <w:rFonts w:ascii="Times New Roman" w:eastAsia="Times New Roman" w:hAnsi="Times New Roman"/>
          <w:sz w:val="20"/>
          <w:szCs w:val="20"/>
          <w:lang w:eastAsia="pt-BR"/>
        </w:rPr>
        <w:t xml:space="preserve"> + </w:t>
      </w:r>
      <w:proofErr w:type="spellStart"/>
      <w:r w:rsidRPr="00A22460">
        <w:rPr>
          <w:rFonts w:ascii="Times New Roman" w:eastAsia="Times New Roman" w:hAnsi="Times New Roman"/>
          <w:i/>
          <w:sz w:val="20"/>
          <w:szCs w:val="20"/>
          <w:lang w:eastAsia="pt-BR"/>
        </w:rPr>
        <w:t>Trichoderma</w:t>
      </w:r>
      <w:proofErr w:type="spellEnd"/>
      <w:r w:rsidRPr="00A22460">
        <w:rPr>
          <w:rFonts w:ascii="Times New Roman" w:eastAsia="Times New Roman" w:hAnsi="Times New Roman"/>
          <w:i/>
          <w:sz w:val="20"/>
          <w:szCs w:val="20"/>
          <w:lang w:eastAsia="pt-BR"/>
        </w:rPr>
        <w:t xml:space="preserve"> </w:t>
      </w:r>
      <w:proofErr w:type="spellStart"/>
      <w:r w:rsidRPr="00A22460">
        <w:rPr>
          <w:rFonts w:ascii="Times New Roman" w:eastAsia="Times New Roman" w:hAnsi="Times New Roman"/>
          <w:i/>
          <w:sz w:val="20"/>
          <w:szCs w:val="20"/>
          <w:lang w:eastAsia="pt-BR"/>
        </w:rPr>
        <w:t>asperellum</w:t>
      </w:r>
      <w:proofErr w:type="spellEnd"/>
      <w:r w:rsidRPr="00A22460">
        <w:rPr>
          <w:rFonts w:ascii="Times New Roman" w:eastAsia="Times New Roman" w:hAnsi="Times New Roman"/>
          <w:i/>
          <w:sz w:val="20"/>
          <w:szCs w:val="20"/>
          <w:lang w:eastAsia="pt-BR"/>
        </w:rPr>
        <w:t>)</w:t>
      </w:r>
      <w:r w:rsidRPr="00A22460">
        <w:rPr>
          <w:rFonts w:ascii="Times New Roman" w:eastAsia="Times New Roman" w:hAnsi="Times New Roman"/>
          <w:sz w:val="20"/>
          <w:szCs w:val="20"/>
          <w:lang w:eastAsia="pt-BR"/>
        </w:rPr>
        <w:t xml:space="preserve"> e </w:t>
      </w:r>
      <w:proofErr w:type="spellStart"/>
      <w:r w:rsidRPr="00A22460">
        <w:rPr>
          <w:rFonts w:ascii="Times New Roman" w:eastAsia="Times New Roman" w:hAnsi="Times New Roman"/>
          <w:sz w:val="20"/>
          <w:szCs w:val="20"/>
          <w:lang w:eastAsia="pt-BR"/>
        </w:rPr>
        <w:t>biofertilizante</w:t>
      </w:r>
      <w:proofErr w:type="spellEnd"/>
      <w:r w:rsidRPr="00A22460">
        <w:rPr>
          <w:rFonts w:ascii="Times New Roman" w:eastAsia="Times New Roman" w:hAnsi="Times New Roman"/>
          <w:sz w:val="20"/>
          <w:szCs w:val="20"/>
          <w:lang w:eastAsia="pt-BR"/>
        </w:rPr>
        <w:t xml:space="preserve"> a base de extrato de algas (</w:t>
      </w:r>
      <w:proofErr w:type="spellStart"/>
      <w:r w:rsidRPr="00A22460">
        <w:rPr>
          <w:rFonts w:ascii="Times New Roman" w:eastAsia="Times New Roman" w:hAnsi="Times New Roman"/>
          <w:i/>
          <w:sz w:val="20"/>
          <w:szCs w:val="20"/>
          <w:lang w:eastAsia="pt-BR"/>
        </w:rPr>
        <w:t>Ascophyllum</w:t>
      </w:r>
      <w:proofErr w:type="spellEnd"/>
      <w:r w:rsidRPr="00A22460">
        <w:rPr>
          <w:rFonts w:ascii="Times New Roman" w:eastAsia="Times New Roman" w:hAnsi="Times New Roman"/>
          <w:sz w:val="20"/>
          <w:szCs w:val="20"/>
          <w:lang w:eastAsia="pt-BR"/>
        </w:rPr>
        <w:t xml:space="preserve"> </w:t>
      </w:r>
      <w:proofErr w:type="spellStart"/>
      <w:r w:rsidRPr="00A22460">
        <w:rPr>
          <w:rFonts w:ascii="Times New Roman" w:eastAsia="Times New Roman" w:hAnsi="Times New Roman"/>
          <w:i/>
          <w:sz w:val="20"/>
          <w:szCs w:val="20"/>
          <w:lang w:eastAsia="pt-BR"/>
        </w:rPr>
        <w:t>nodusum</w:t>
      </w:r>
      <w:proofErr w:type="spellEnd"/>
      <w:r w:rsidRPr="00A22460">
        <w:rPr>
          <w:rFonts w:ascii="Times New Roman" w:eastAsia="Times New Roman" w:hAnsi="Times New Roman"/>
          <w:sz w:val="20"/>
          <w:szCs w:val="20"/>
          <w:lang w:eastAsia="pt-BR"/>
        </w:rPr>
        <w:t xml:space="preserve"> + </w:t>
      </w:r>
      <w:proofErr w:type="spellStart"/>
      <w:r w:rsidRPr="00A22460">
        <w:rPr>
          <w:rFonts w:ascii="Times New Roman" w:eastAsia="Times New Roman" w:hAnsi="Times New Roman"/>
          <w:i/>
          <w:sz w:val="20"/>
          <w:szCs w:val="20"/>
          <w:lang w:eastAsia="pt-BR"/>
        </w:rPr>
        <w:t>Kappaphycus</w:t>
      </w:r>
      <w:proofErr w:type="spellEnd"/>
      <w:r w:rsidRPr="00A22460">
        <w:rPr>
          <w:rFonts w:ascii="Times New Roman" w:eastAsia="Times New Roman" w:hAnsi="Times New Roman"/>
          <w:sz w:val="20"/>
          <w:szCs w:val="20"/>
          <w:lang w:eastAsia="pt-BR"/>
        </w:rPr>
        <w:t xml:space="preserve"> </w:t>
      </w:r>
      <w:proofErr w:type="spellStart"/>
      <w:r w:rsidRPr="00A22460">
        <w:rPr>
          <w:rFonts w:ascii="Times New Roman" w:eastAsia="Times New Roman" w:hAnsi="Times New Roman"/>
          <w:i/>
          <w:sz w:val="20"/>
          <w:szCs w:val="20"/>
          <w:lang w:eastAsia="pt-BR"/>
        </w:rPr>
        <w:t>alvarezii</w:t>
      </w:r>
      <w:proofErr w:type="spellEnd"/>
      <w:r w:rsidRPr="00A22460">
        <w:rPr>
          <w:rFonts w:ascii="Times New Roman" w:eastAsia="Times New Roman" w:hAnsi="Times New Roman"/>
          <w:sz w:val="20"/>
          <w:szCs w:val="20"/>
          <w:lang w:eastAsia="pt-BR"/>
        </w:rPr>
        <w:t>) + complexo de aminoácidos (Prolina + arginina).</w:t>
      </w:r>
    </w:p>
    <w:p w14:paraId="0616E2A0" w14:textId="542D1D62" w:rsidR="00C70EBA" w:rsidRPr="00A22460" w:rsidRDefault="007B253A" w:rsidP="00AA5D6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22460">
        <w:rPr>
          <w:rFonts w:ascii="Times New Roman" w:hAnsi="Times New Roman"/>
          <w:b/>
          <w:bCs/>
          <w:sz w:val="20"/>
          <w:szCs w:val="20"/>
        </w:rPr>
        <w:t>Fonte:</w:t>
      </w:r>
      <w:r w:rsidRPr="00A22460">
        <w:rPr>
          <w:rFonts w:ascii="Times New Roman" w:hAnsi="Times New Roman"/>
          <w:sz w:val="20"/>
          <w:szCs w:val="20"/>
        </w:rPr>
        <w:t xml:space="preserve"> Autores (2024)</w:t>
      </w:r>
    </w:p>
    <w:p w14:paraId="304B4C5A" w14:textId="77777777" w:rsidR="000A312E" w:rsidRDefault="000A312E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  <w:sectPr w:rsidR="000A312E" w:rsidSect="000A312E">
          <w:type w:val="continuous"/>
          <w:pgSz w:w="11906" w:h="16838"/>
          <w:pgMar w:top="1701" w:right="1134" w:bottom="1701" w:left="1701" w:header="720" w:footer="720" w:gutter="0"/>
          <w:cols w:space="720"/>
          <w:titlePg/>
          <w:docGrid w:linePitch="360"/>
        </w:sectPr>
      </w:pPr>
    </w:p>
    <w:p w14:paraId="4F4B5ADA" w14:textId="58C59E00" w:rsidR="000B5EC9" w:rsidRPr="00A22460" w:rsidRDefault="000B5EC9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lastRenderedPageBreak/>
        <w:t xml:space="preserve">A altura das plantas (AP) apresentou variações importantes quando comparados os tratamentos com bioestimulantes e microrganismos. Nos tratamentos com microrganismos e bioestimulantes, assim como na combinação de ambos, as plantas apresentaram altura superior em relação à testemunha, sugerindo que os tratamentos favorecem o crescimento vegetativo. Esses resultados indicam que a aplicação de bioestimulantes e microrganismos pode ter contribuído para a síntese de hormônios vegetais, como auxinas e </w:t>
      </w:r>
      <w:proofErr w:type="spellStart"/>
      <w:r w:rsidRPr="00A22460">
        <w:rPr>
          <w:rFonts w:ascii="Times New Roman" w:hAnsi="Times New Roman"/>
          <w:sz w:val="24"/>
          <w:szCs w:val="24"/>
        </w:rPr>
        <w:t>citocininas</w:t>
      </w:r>
      <w:proofErr w:type="spellEnd"/>
      <w:r w:rsidRPr="00A22460">
        <w:rPr>
          <w:rFonts w:ascii="Times New Roman" w:hAnsi="Times New Roman"/>
          <w:sz w:val="24"/>
          <w:szCs w:val="24"/>
        </w:rPr>
        <w:t>, essenciais para o crescimento celular. Entre os tratamentos, o uso de bioestimulantes isolados se destacou, sugerindo que essa intervenção oferece vantagens específicas na promoção do alongamento celular das plantas de feijão.</w:t>
      </w:r>
    </w:p>
    <w:p w14:paraId="18E92BDF" w14:textId="77777777" w:rsidR="000B5EC9" w:rsidRPr="00A22460" w:rsidRDefault="000B5EC9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>Ao analisar o efeito da reposição hídrica sobre a altura das plantas, constatou-se que as plantas submetidas aos maiores níveis de reposição hídrica (75% e 100% da capacidade de campo) alcançaram alturas superiores às que receberam menor quantidade de água. Esse efeito era esperado, já que a disponibilidade hídrica adequada é essencial para o transporte de nutrientes e para processos bioquímicos envolvidos no crescimento. Em condições de déficit hídrico, as plantas geralmente reduzem seu desenvolvimento em altura como estratégia para diminuir a superfície de evapotranspiração, o que se reflete nos resultados, pois plantas submetidas a reposições de 25% e 50% apresentaram alturas mais reduzidas.</w:t>
      </w:r>
    </w:p>
    <w:p w14:paraId="4444D936" w14:textId="77777777" w:rsidR="000B5EC9" w:rsidRPr="00A22460" w:rsidRDefault="000B5EC9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>Os bioestimulantes e microrganismos aplicados neste estudo podem ter atenuado os efeitos do déficit hídrico, contribuindo para um desenvolvimento em altura mais próximo ao ideal, mesmo em condições de estresse moderado, o que sugere que essas substâncias bioativas podem atuar como mediadores de resiliência ao estresse hídrico.</w:t>
      </w:r>
    </w:p>
    <w:p w14:paraId="204DC63C" w14:textId="6B8C49C2" w:rsidR="000B5EC9" w:rsidRPr="00A22460" w:rsidRDefault="000B5EC9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>No caso do diâmetro de caule (DC), a análise dos efeitos dos tratamentos revelou que a aplicação de bioestimulantes e microrganismos resultou em um aumento ligeiro, mas consistente, do diâmetro em comparação com a testemunha. O diâmetro de caule é um indicador importante de robustez estrutural, proporcionando maior suporte e resistência para a planta. Embora as diferenças entre os tratamentos não tenham sido altamente significativas, o tratamento com bioestimulantes e microrganismos associados apresentou os maiores diâmetros, sugerindo que a combinação desses agentes pode fortalecer a estrutura de suporte das plantas.</w:t>
      </w:r>
    </w:p>
    <w:p w14:paraId="62BAA890" w14:textId="42B44273" w:rsidR="000B5EC9" w:rsidRPr="00A22460" w:rsidRDefault="000B5EC9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>O efeito dos diferentes níveis de reposição hídrica no diâmetro de caule também foi notável, com as plantas submetidas a níveis mais altos de reposição hídrica exibindo maiores diâmetros. Em condições de estresse hídrico, o diâmetro tende a ser reduzido, uma vez que a planta destina menos recursos ao crescimento estrutural, concentrando-se na sobrevivência. Assim, o aumento do diâmetro com maior reposição hídrica indica que as plantas beneficiadas pela água suficiente alcançam uma estrutura mais robusta, o que pode implicar</w:t>
      </w:r>
      <w:r w:rsidR="00F740FF" w:rsidRPr="00A22460">
        <w:rPr>
          <w:rFonts w:ascii="Times New Roman" w:hAnsi="Times New Roman"/>
          <w:sz w:val="24"/>
          <w:szCs w:val="24"/>
        </w:rPr>
        <w:t xml:space="preserve"> na</w:t>
      </w:r>
      <w:r w:rsidRPr="00A22460">
        <w:rPr>
          <w:rFonts w:ascii="Times New Roman" w:hAnsi="Times New Roman"/>
          <w:sz w:val="24"/>
          <w:szCs w:val="24"/>
        </w:rPr>
        <w:t xml:space="preserve"> maior capacidade de transporte de nutrientes e maior estabilidade.</w:t>
      </w:r>
    </w:p>
    <w:p w14:paraId="52EF91AC" w14:textId="7DBBB368" w:rsidR="00D46290" w:rsidRPr="00A22460" w:rsidRDefault="000B5EC9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 xml:space="preserve">Em relação ao número de </w:t>
      </w:r>
      <w:r w:rsidR="00F573FC" w:rsidRPr="00A22460">
        <w:rPr>
          <w:rFonts w:ascii="Times New Roman" w:eastAsia="Times New Roman" w:hAnsi="Times New Roman"/>
          <w:sz w:val="24"/>
          <w:szCs w:val="24"/>
          <w:lang w:eastAsia="pt-BR"/>
        </w:rPr>
        <w:t>folhas</w:t>
      </w:r>
      <w:r w:rsidRPr="00A22460">
        <w:rPr>
          <w:rFonts w:ascii="Times New Roman" w:hAnsi="Times New Roman"/>
          <w:sz w:val="24"/>
          <w:szCs w:val="24"/>
        </w:rPr>
        <w:t xml:space="preserve"> (NF), os tratamentos com bioestimulantes e microrganismos foram superiores em comparação à testemunha, destacando-se o tratamento com bioestimulantes isolados. O número de </w:t>
      </w:r>
      <w:r w:rsidR="00F573FC" w:rsidRPr="00A22460">
        <w:rPr>
          <w:rFonts w:ascii="Times New Roman" w:eastAsia="Times New Roman" w:hAnsi="Times New Roman"/>
          <w:sz w:val="24"/>
          <w:szCs w:val="24"/>
          <w:lang w:eastAsia="pt-BR"/>
        </w:rPr>
        <w:t>folhas</w:t>
      </w:r>
      <w:r w:rsidRPr="00A22460">
        <w:rPr>
          <w:rFonts w:ascii="Times New Roman" w:hAnsi="Times New Roman"/>
          <w:sz w:val="24"/>
          <w:szCs w:val="24"/>
        </w:rPr>
        <w:t xml:space="preserve"> é um indicativo importante da capacidade fotossintética da planta, pois uma maior quantidade de </w:t>
      </w:r>
      <w:r w:rsidR="00F573FC" w:rsidRPr="00A22460">
        <w:rPr>
          <w:rFonts w:ascii="Times New Roman" w:eastAsia="Times New Roman" w:hAnsi="Times New Roman"/>
          <w:sz w:val="24"/>
          <w:szCs w:val="24"/>
          <w:lang w:eastAsia="pt-BR"/>
        </w:rPr>
        <w:t>folhas</w:t>
      </w:r>
      <w:r w:rsidRPr="00A22460">
        <w:rPr>
          <w:rFonts w:ascii="Times New Roman" w:hAnsi="Times New Roman"/>
          <w:sz w:val="24"/>
          <w:szCs w:val="24"/>
        </w:rPr>
        <w:t xml:space="preserve"> tende a aumentar a área disponível para a captura de luz solar. Essa característica é fundamental para o desenvolvimento</w:t>
      </w:r>
      <w:r w:rsidR="00D46290" w:rsidRPr="00A22460">
        <w:rPr>
          <w:rFonts w:ascii="Times New Roman" w:hAnsi="Times New Roman"/>
          <w:sz w:val="24"/>
          <w:szCs w:val="24"/>
        </w:rPr>
        <w:t xml:space="preserve"> da planta, sobretudo em condições de estresse hídrico, pois </w:t>
      </w:r>
      <w:r w:rsidR="00F573FC" w:rsidRPr="00A22460">
        <w:rPr>
          <w:rFonts w:ascii="Times New Roman" w:eastAsia="Times New Roman" w:hAnsi="Times New Roman"/>
          <w:sz w:val="24"/>
          <w:szCs w:val="24"/>
          <w:lang w:eastAsia="pt-BR"/>
        </w:rPr>
        <w:t>folhas</w:t>
      </w:r>
      <w:r w:rsidR="00D46290" w:rsidRPr="00A22460">
        <w:rPr>
          <w:rFonts w:ascii="Times New Roman" w:hAnsi="Times New Roman"/>
          <w:sz w:val="24"/>
          <w:szCs w:val="24"/>
        </w:rPr>
        <w:t xml:space="preserve"> mais numerosos e bem formados contribuem para uma fotossíntese mais eficiente, promovendo maior resiliência.</w:t>
      </w:r>
    </w:p>
    <w:p w14:paraId="4BB456C4" w14:textId="6084E3FA" w:rsidR="00D46290" w:rsidRPr="00A22460" w:rsidRDefault="00D46290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lastRenderedPageBreak/>
        <w:t xml:space="preserve">Além disso, os diferentes níveis de reposição hídrica influenciaram o número de </w:t>
      </w:r>
      <w:r w:rsidR="00F573FC" w:rsidRPr="00A22460">
        <w:rPr>
          <w:rFonts w:ascii="Times New Roman" w:eastAsia="Times New Roman" w:hAnsi="Times New Roman"/>
          <w:sz w:val="24"/>
          <w:szCs w:val="24"/>
          <w:lang w:eastAsia="pt-BR"/>
        </w:rPr>
        <w:t>folhas</w:t>
      </w:r>
      <w:r w:rsidRPr="00A22460">
        <w:rPr>
          <w:rFonts w:ascii="Times New Roman" w:hAnsi="Times New Roman"/>
          <w:sz w:val="24"/>
          <w:szCs w:val="24"/>
        </w:rPr>
        <w:t xml:space="preserve">, sendo observadas maiores médias nos tratamentos com reposições hídricas de 75% e 100%. Em condições de menor disponibilidade hídrica (25% e 50%), o número de </w:t>
      </w:r>
      <w:r w:rsidR="00F573FC" w:rsidRPr="00A22460">
        <w:rPr>
          <w:rFonts w:ascii="Times New Roman" w:eastAsia="Times New Roman" w:hAnsi="Times New Roman"/>
          <w:sz w:val="24"/>
          <w:szCs w:val="24"/>
          <w:lang w:eastAsia="pt-BR"/>
        </w:rPr>
        <w:t>folhas</w:t>
      </w:r>
      <w:r w:rsidRPr="00A22460">
        <w:rPr>
          <w:rFonts w:ascii="Times New Roman" w:hAnsi="Times New Roman"/>
          <w:sz w:val="24"/>
          <w:szCs w:val="24"/>
        </w:rPr>
        <w:t xml:space="preserve"> foi reduzido, refletindo uma resposta adaptativa da planta à restrição de água, onde ocorre menor investimento em folhagem para reduzir a perda de água. Essa adaptação confirma a hipótese de que plantas sob estresse hídrico desenvolvem folhagem reduzida para economizar recursos hídricos e manter funções vitais.</w:t>
      </w:r>
    </w:p>
    <w:p w14:paraId="60716A87" w14:textId="77777777" w:rsidR="00D46290" w:rsidRPr="00A22460" w:rsidRDefault="00D46290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>A área foliar (AF) foi positivamente afetada pelos tratamentos com bioestimulantes e microrganismos, destacando-se os tratamentos com bioestimulantes isolados e combinados. A área foliar tem papel crucial na fotossíntese e evapotranspiração, sendo um indicador da capacidade da planta em captar luz e regular sua temperatura. As plantas que receberam bioestimulantes e microrganismos apresentaram áreas foliares superiores em relação à testemunha, o que sugere que esses tratamentos promovem um desenvolvimento foliar que potencializa a eficiência metabólica, especialmente importante em períodos de déficit hídrico.</w:t>
      </w:r>
    </w:p>
    <w:p w14:paraId="7A10A843" w14:textId="77777777" w:rsidR="00D46290" w:rsidRPr="00A22460" w:rsidRDefault="00D46290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>A análise dos níveis de reposição hídrica revelou que a área foliar foi significativamente maior em plantas submetidas a níveis de reposição mais elevados (75% e 100%). Em condições de estresse hídrico, a área foliar foi reduzida, o que é esperado, pois a planta tende a limitar seu crescimento foliar para reduzir a perda de água por transpiração. Esse comportamento adaptativo também foi observado em estudos anteriores, nos quais o estresse hídrico levou à diminuição da área foliar como uma estratégia de sobrevivência da planta.</w:t>
      </w:r>
    </w:p>
    <w:p w14:paraId="6C140FC4" w14:textId="77777777" w:rsidR="00D46290" w:rsidRPr="00A22460" w:rsidRDefault="00D46290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 xml:space="preserve">Por fim, a importância da área foliar no metabolismo das plantas, especialmente em condições de déficit hídrico, é reforçada pela capacidade da planta em manter uma </w:t>
      </w:r>
      <w:r w:rsidRPr="00A22460">
        <w:rPr>
          <w:rFonts w:ascii="Times New Roman" w:hAnsi="Times New Roman"/>
          <w:sz w:val="24"/>
          <w:szCs w:val="24"/>
        </w:rPr>
        <w:t>área foliar adequada, o que facilita a fotossíntese e permite a continuidade do desenvolvimento, mesmo sob limitações hídricas. Os bioestimulantes e microrganismos testados neste estudo mostraram potencial para mitigar os efeitos do estresse hídrico, promovendo uma manutenção da área foliar que pode contribuir para a produtividade final da cultura do feijão.</w:t>
      </w:r>
    </w:p>
    <w:p w14:paraId="58ADD51A" w14:textId="77777777" w:rsidR="00D46290" w:rsidRPr="00A22460" w:rsidRDefault="00D46290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>Para comparar os resultados com estudos similares que utilizam bioestimulantes e microrganismos no manejo do déficit hídrico, diversos pesquisadores apontam que esses compostos podem melhorar a resiliência das plantas ao estresse hídrico, favorecendo a retenção de água, o fortalecimento da parede celular e a promoção de rotas metabólicas que mantêm a homeostase redox (</w:t>
      </w:r>
      <w:proofErr w:type="spellStart"/>
      <w:r w:rsidRPr="00A22460">
        <w:rPr>
          <w:rFonts w:ascii="Times New Roman" w:hAnsi="Times New Roman"/>
          <w:sz w:val="24"/>
          <w:szCs w:val="24"/>
        </w:rPr>
        <w:t>Nephali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 </w:t>
      </w:r>
      <w:r w:rsidRPr="00A22460">
        <w:rPr>
          <w:rFonts w:ascii="Times New Roman" w:hAnsi="Times New Roman"/>
          <w:i/>
          <w:iCs/>
          <w:sz w:val="24"/>
          <w:szCs w:val="24"/>
        </w:rPr>
        <w:t>et al.</w:t>
      </w:r>
      <w:r w:rsidRPr="00A22460">
        <w:rPr>
          <w:rFonts w:ascii="Times New Roman" w:hAnsi="Times New Roman"/>
          <w:sz w:val="24"/>
          <w:szCs w:val="24"/>
        </w:rPr>
        <w:t>, 2021). No Cerrado, por ser uma região com restrições hídricas sazonais, esses bioestimulantes tornam-se alternativas sustentáveis para mitigar impactos negativos do déficit hídrico e promover a produtividade agrícola mesmo em condições adversas (</w:t>
      </w:r>
      <w:proofErr w:type="spellStart"/>
      <w:r w:rsidRPr="00A22460">
        <w:rPr>
          <w:rFonts w:ascii="Times New Roman" w:hAnsi="Times New Roman"/>
          <w:sz w:val="24"/>
          <w:szCs w:val="24"/>
        </w:rPr>
        <w:t>Bonatelli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 </w:t>
      </w:r>
      <w:r w:rsidRPr="00A22460">
        <w:rPr>
          <w:rFonts w:ascii="Times New Roman" w:hAnsi="Times New Roman"/>
          <w:i/>
          <w:iCs/>
          <w:sz w:val="24"/>
          <w:szCs w:val="24"/>
        </w:rPr>
        <w:t>et al.</w:t>
      </w:r>
      <w:r w:rsidRPr="00A22460">
        <w:rPr>
          <w:rFonts w:ascii="Times New Roman" w:hAnsi="Times New Roman"/>
          <w:sz w:val="24"/>
          <w:szCs w:val="24"/>
        </w:rPr>
        <w:t>, 2021).</w:t>
      </w:r>
    </w:p>
    <w:p w14:paraId="1FD52CE0" w14:textId="383E63C5" w:rsidR="00D46290" w:rsidRPr="00A22460" w:rsidRDefault="00D46290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 xml:space="preserve">Os bioestimulantes à base de extratos de algas e bactérias promovem melhor absorção de nutrientes e aumento do diâmetro radicular, tornando as plantas mais robustas e eficientes no uso de água e nutrientes. Hamid </w:t>
      </w:r>
      <w:r w:rsidRPr="00A22460">
        <w:rPr>
          <w:rFonts w:ascii="Times New Roman" w:hAnsi="Times New Roman"/>
          <w:i/>
          <w:iCs/>
          <w:sz w:val="24"/>
          <w:szCs w:val="24"/>
        </w:rPr>
        <w:t>et al.</w:t>
      </w:r>
      <w:r w:rsidRPr="00A22460">
        <w:rPr>
          <w:rFonts w:ascii="Times New Roman" w:hAnsi="Times New Roman"/>
          <w:sz w:val="24"/>
          <w:szCs w:val="24"/>
        </w:rPr>
        <w:t xml:space="preserve"> (2021) demonstram que compostos bioativos, como aminoácidos e hormônios vegetais, podem induzir alterações bioquímicas nas plantas, como o aumento na produção de </w:t>
      </w:r>
      <w:proofErr w:type="spellStart"/>
      <w:r w:rsidRPr="00A22460">
        <w:rPr>
          <w:rFonts w:ascii="Times New Roman" w:hAnsi="Times New Roman"/>
          <w:sz w:val="24"/>
          <w:szCs w:val="24"/>
        </w:rPr>
        <w:t>osmólitos</w:t>
      </w:r>
      <w:proofErr w:type="spellEnd"/>
      <w:r w:rsidRPr="00A22460">
        <w:rPr>
          <w:rFonts w:ascii="Times New Roman" w:hAnsi="Times New Roman"/>
          <w:sz w:val="24"/>
          <w:szCs w:val="24"/>
        </w:rPr>
        <w:t>, que protegem as células contra o estresse hídrico</w:t>
      </w:r>
      <w:r w:rsidR="00404DF4" w:rsidRPr="00A22460">
        <w:rPr>
          <w:rFonts w:ascii="Times New Roman" w:hAnsi="Times New Roman"/>
          <w:sz w:val="24"/>
          <w:szCs w:val="24"/>
        </w:rPr>
        <w:t xml:space="preserve">, o que </w:t>
      </w:r>
      <w:r w:rsidRPr="00A22460">
        <w:rPr>
          <w:rFonts w:ascii="Times New Roman" w:hAnsi="Times New Roman"/>
          <w:sz w:val="24"/>
          <w:szCs w:val="24"/>
        </w:rPr>
        <w:t>é crucial para sistemas de produção no Cerrado, onde a adaptação ao clima seco é vital para a segurança alimentar regional.</w:t>
      </w:r>
    </w:p>
    <w:p w14:paraId="50274C77" w14:textId="49D1951F" w:rsidR="00D46290" w:rsidRPr="00A22460" w:rsidRDefault="00D46290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 xml:space="preserve">Quanto às aplicações práticas, bioestimulantes como os extratos de </w:t>
      </w:r>
      <w:proofErr w:type="spellStart"/>
      <w:r w:rsidRPr="00A22460">
        <w:rPr>
          <w:rFonts w:ascii="Times New Roman" w:hAnsi="Times New Roman"/>
          <w:i/>
          <w:iCs/>
          <w:sz w:val="24"/>
          <w:szCs w:val="24"/>
        </w:rPr>
        <w:t>Ascophyllum</w:t>
      </w:r>
      <w:proofErr w:type="spellEnd"/>
      <w:r w:rsidRPr="00A2246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22460">
        <w:rPr>
          <w:rFonts w:ascii="Times New Roman" w:hAnsi="Times New Roman"/>
          <w:i/>
          <w:iCs/>
          <w:sz w:val="24"/>
          <w:szCs w:val="24"/>
        </w:rPr>
        <w:t>nodosum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 são ferramentas promissoras para culturas como o feijão, uma vez que estimulam processos fotossintéticos e aumentam a resistência ao déficit hídrico, </w:t>
      </w:r>
      <w:r w:rsidR="002607BA" w:rsidRPr="00A22460">
        <w:rPr>
          <w:rFonts w:ascii="Times New Roman" w:hAnsi="Times New Roman"/>
          <w:sz w:val="24"/>
          <w:szCs w:val="24"/>
        </w:rPr>
        <w:t>além disso e</w:t>
      </w:r>
      <w:r w:rsidRPr="00A22460">
        <w:rPr>
          <w:rFonts w:ascii="Times New Roman" w:hAnsi="Times New Roman"/>
          <w:sz w:val="24"/>
          <w:szCs w:val="24"/>
        </w:rPr>
        <w:t xml:space="preserve">sses produtos </w:t>
      </w:r>
      <w:r w:rsidRPr="00A22460">
        <w:rPr>
          <w:rFonts w:ascii="Times New Roman" w:hAnsi="Times New Roman"/>
          <w:sz w:val="24"/>
          <w:szCs w:val="24"/>
        </w:rPr>
        <w:lastRenderedPageBreak/>
        <w:t>auxiliam no desenvolvimento da planta, reduzindo a perda de produtividade sob condições de estresse e ajudando a sustentar a produção agrícola em áreas suscetíveis à escassez de água, como o Cerrado brasileiro (</w:t>
      </w:r>
      <w:proofErr w:type="spellStart"/>
      <w:r w:rsidR="002607BA" w:rsidRPr="00A22460">
        <w:rPr>
          <w:rFonts w:ascii="Times New Roman" w:hAnsi="Times New Roman"/>
          <w:sz w:val="24"/>
          <w:szCs w:val="24"/>
        </w:rPr>
        <w:t>Goñi</w:t>
      </w:r>
      <w:proofErr w:type="spellEnd"/>
      <w:r w:rsidR="00FC3CAC">
        <w:rPr>
          <w:rFonts w:ascii="Times New Roman" w:hAnsi="Times New Roman"/>
          <w:sz w:val="24"/>
          <w:szCs w:val="24"/>
        </w:rPr>
        <w:t>;</w:t>
      </w:r>
      <w:r w:rsidR="002607BA" w:rsidRPr="00A224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07BA" w:rsidRPr="00A22460">
        <w:rPr>
          <w:rFonts w:ascii="Times New Roman" w:hAnsi="Times New Roman"/>
          <w:sz w:val="24"/>
          <w:szCs w:val="24"/>
        </w:rPr>
        <w:t>Quille</w:t>
      </w:r>
      <w:proofErr w:type="spellEnd"/>
      <w:r w:rsidR="00FC3CAC">
        <w:rPr>
          <w:rFonts w:ascii="Times New Roman" w:hAnsi="Times New Roman"/>
          <w:sz w:val="24"/>
          <w:szCs w:val="24"/>
        </w:rPr>
        <w:t>;</w:t>
      </w:r>
      <w:r w:rsidR="002607BA" w:rsidRPr="00A224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07BA" w:rsidRPr="00A22460">
        <w:rPr>
          <w:rFonts w:ascii="Times New Roman" w:hAnsi="Times New Roman"/>
          <w:sz w:val="24"/>
          <w:szCs w:val="24"/>
        </w:rPr>
        <w:t>O’connell</w:t>
      </w:r>
      <w:proofErr w:type="spellEnd"/>
      <w:r w:rsidRPr="00A22460">
        <w:rPr>
          <w:rFonts w:ascii="Times New Roman" w:hAnsi="Times New Roman"/>
          <w:sz w:val="24"/>
          <w:szCs w:val="24"/>
        </w:rPr>
        <w:t>, 2018).</w:t>
      </w:r>
    </w:p>
    <w:p w14:paraId="0EAD48D3" w14:textId="16726589" w:rsidR="00D46290" w:rsidRPr="00A22460" w:rsidRDefault="00D46290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 xml:space="preserve">Boas práticas sugerem o uso de uma combinação de bioestimulantes e microrganismos específicos para otimizar a produtividade em condições de restrição hídrica. </w:t>
      </w:r>
      <w:proofErr w:type="spellStart"/>
      <w:r w:rsidRPr="00A22460">
        <w:rPr>
          <w:rFonts w:ascii="Times New Roman" w:hAnsi="Times New Roman"/>
          <w:sz w:val="24"/>
          <w:szCs w:val="24"/>
        </w:rPr>
        <w:t>Kaushal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 </w:t>
      </w:r>
      <w:r w:rsidRPr="00A22460">
        <w:rPr>
          <w:rFonts w:ascii="Times New Roman" w:hAnsi="Times New Roman"/>
          <w:i/>
          <w:iCs/>
          <w:sz w:val="24"/>
          <w:szCs w:val="24"/>
        </w:rPr>
        <w:t>et al.</w:t>
      </w:r>
      <w:r w:rsidRPr="00A22460">
        <w:rPr>
          <w:rFonts w:ascii="Times New Roman" w:hAnsi="Times New Roman"/>
          <w:sz w:val="24"/>
          <w:szCs w:val="24"/>
        </w:rPr>
        <w:t xml:space="preserve"> (2023) recomendam que o uso dessas substâncias, associado a técnicas de manejo hídrico, pode maximizar o desempenho das culturas, promovendo tanto o crescimento quanto a resiliência das plantas frente a desafios climáticos.</w:t>
      </w:r>
    </w:p>
    <w:p w14:paraId="28CF8718" w14:textId="77777777" w:rsidR="00D46290" w:rsidRPr="00A22460" w:rsidRDefault="00D46290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>Assim, a literatura atual reforça que o manejo integrado com bioestimulantes e microrganismos é fundamental para a agricultura sustentável e resiliente no Cerrado, proporcionando alternativas viáveis para enfrentamento das variações climáticas e manutenção da produtividade.</w:t>
      </w:r>
    </w:p>
    <w:p w14:paraId="3C7E5F4A" w14:textId="3C16324D" w:rsidR="00D46290" w:rsidRPr="00A22460" w:rsidRDefault="00D46290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 xml:space="preserve">As limitações experimentais deste estudo incluem a realização em ambiente controlado de casa de vegetação, o que pode não refletir totalmente as condições de campo. Experimentos em escala reduzida, como o realizado, muitas vezes apresentam limitações em termos de variabilidade climática e edáfica, elementos essenciais para avaliar o impacto real dos bioestimulantes e microrganismos no manejo do déficit hídrico. Segundo </w:t>
      </w:r>
      <w:proofErr w:type="spellStart"/>
      <w:r w:rsidRPr="00A22460">
        <w:rPr>
          <w:rFonts w:ascii="Times New Roman" w:hAnsi="Times New Roman"/>
          <w:sz w:val="24"/>
          <w:szCs w:val="24"/>
        </w:rPr>
        <w:t>Nephali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 </w:t>
      </w:r>
      <w:r w:rsidRPr="00A22460">
        <w:rPr>
          <w:rFonts w:ascii="Times New Roman" w:hAnsi="Times New Roman"/>
          <w:i/>
          <w:iCs/>
          <w:sz w:val="24"/>
          <w:szCs w:val="24"/>
        </w:rPr>
        <w:t>et al.</w:t>
      </w:r>
      <w:r w:rsidRPr="00A22460">
        <w:rPr>
          <w:rFonts w:ascii="Times New Roman" w:hAnsi="Times New Roman"/>
          <w:sz w:val="24"/>
          <w:szCs w:val="24"/>
        </w:rPr>
        <w:t xml:space="preserve"> (2021), condições controladas limitam a observação de interações complexas entre plantas, solo e clima, que são determinantes em situações de estresse hídrico em campo aberto.</w:t>
      </w:r>
    </w:p>
    <w:p w14:paraId="571A5CDE" w14:textId="69AD3BC3" w:rsidR="00D46290" w:rsidRPr="00A22460" w:rsidRDefault="00D46290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 xml:space="preserve">Outro ponto limitante é o controle de variáveis edafoclimáticas no ambiente de casa de vegetação, onde a uniformidade do solo e a temperatura fixa podem mascarar flutuações que influenciam diretamente o desempenho dos tratamentos aplicados. Hamid </w:t>
      </w:r>
      <w:r w:rsidRPr="00A22460">
        <w:rPr>
          <w:rFonts w:ascii="Times New Roman" w:hAnsi="Times New Roman"/>
          <w:i/>
          <w:iCs/>
          <w:sz w:val="24"/>
          <w:szCs w:val="24"/>
        </w:rPr>
        <w:t>et al.</w:t>
      </w:r>
      <w:r w:rsidRPr="00A22460">
        <w:rPr>
          <w:rFonts w:ascii="Times New Roman" w:hAnsi="Times New Roman"/>
          <w:sz w:val="24"/>
          <w:szCs w:val="24"/>
        </w:rPr>
        <w:t xml:space="preserve"> (2021) destacam que a presença de condições naturais variadas é essencial para validar a eficácia dos bioestimulantes e </w:t>
      </w:r>
      <w:r w:rsidRPr="00A22460">
        <w:rPr>
          <w:rFonts w:ascii="Times New Roman" w:hAnsi="Times New Roman"/>
          <w:sz w:val="24"/>
          <w:szCs w:val="24"/>
        </w:rPr>
        <w:t>microrganismos, pois a variabilidade ambiental pode interferir diretamente na resposta das plantas aos tratamentos aplicados.</w:t>
      </w:r>
    </w:p>
    <w:p w14:paraId="29699953" w14:textId="58D05F96" w:rsidR="00D46290" w:rsidRPr="00A22460" w:rsidRDefault="00D46290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>Para futuras pesquisas, é recomendado o desenvolvimento de estudos de campo em larga escala, especialmente em áreas do Cerrado, que possui desafios climáticos e edáficos próprios. Estudos conduzidos em campo permitem maior representatividade das condições reais de cultivo, propiciando um cenário mais fiel para a avaliação da eficácia dos bioestimulantes e microrganismos</w:t>
      </w:r>
      <w:r w:rsidR="002607BA" w:rsidRPr="00A22460">
        <w:rPr>
          <w:rFonts w:ascii="Times New Roman" w:hAnsi="Times New Roman"/>
          <w:sz w:val="24"/>
          <w:szCs w:val="24"/>
        </w:rPr>
        <w:t xml:space="preserve"> </w:t>
      </w:r>
      <w:r w:rsidR="00CC4E51" w:rsidRPr="00A22460">
        <w:rPr>
          <w:rFonts w:ascii="Times New Roman" w:hAnsi="Times New Roman"/>
          <w:sz w:val="24"/>
          <w:szCs w:val="24"/>
        </w:rPr>
        <w:t>(</w:t>
      </w:r>
      <w:proofErr w:type="spellStart"/>
      <w:r w:rsidR="00CC4E51" w:rsidRPr="00A22460">
        <w:rPr>
          <w:rFonts w:ascii="Times New Roman" w:hAnsi="Times New Roman"/>
          <w:sz w:val="24"/>
          <w:szCs w:val="24"/>
        </w:rPr>
        <w:t>Goñi</w:t>
      </w:r>
      <w:proofErr w:type="spellEnd"/>
      <w:r w:rsidR="00FC3CAC">
        <w:rPr>
          <w:rFonts w:ascii="Times New Roman" w:hAnsi="Times New Roman"/>
          <w:sz w:val="24"/>
          <w:szCs w:val="24"/>
        </w:rPr>
        <w:t>;</w:t>
      </w:r>
      <w:r w:rsidR="00CC4E51" w:rsidRPr="00A224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4E51" w:rsidRPr="00A22460">
        <w:rPr>
          <w:rFonts w:ascii="Times New Roman" w:hAnsi="Times New Roman"/>
          <w:sz w:val="24"/>
          <w:szCs w:val="24"/>
        </w:rPr>
        <w:t>Quille</w:t>
      </w:r>
      <w:proofErr w:type="spellEnd"/>
      <w:r w:rsidR="00FC3CAC">
        <w:rPr>
          <w:rFonts w:ascii="Times New Roman" w:hAnsi="Times New Roman"/>
          <w:sz w:val="24"/>
          <w:szCs w:val="24"/>
        </w:rPr>
        <w:t>;</w:t>
      </w:r>
      <w:r w:rsidR="00CC4E51" w:rsidRPr="00A224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4E51" w:rsidRPr="00A22460">
        <w:rPr>
          <w:rFonts w:ascii="Times New Roman" w:hAnsi="Times New Roman"/>
          <w:sz w:val="24"/>
          <w:szCs w:val="24"/>
        </w:rPr>
        <w:t>O’connell</w:t>
      </w:r>
      <w:proofErr w:type="spellEnd"/>
      <w:r w:rsidR="00CC4E51" w:rsidRPr="00A22460">
        <w:rPr>
          <w:rFonts w:ascii="Times New Roman" w:hAnsi="Times New Roman"/>
          <w:sz w:val="24"/>
          <w:szCs w:val="24"/>
        </w:rPr>
        <w:t>, 2018)</w:t>
      </w:r>
      <w:r w:rsidRPr="00A22460">
        <w:rPr>
          <w:rFonts w:ascii="Times New Roman" w:hAnsi="Times New Roman"/>
          <w:sz w:val="24"/>
          <w:szCs w:val="24"/>
        </w:rPr>
        <w:t>.</w:t>
      </w:r>
    </w:p>
    <w:p w14:paraId="532BD57A" w14:textId="5D907069" w:rsidR="00D46290" w:rsidRPr="00A22460" w:rsidRDefault="00D46290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 xml:space="preserve">Além disso, são necessários estudos que avaliem a aplicação de diferentes formulações e concentrações de bioestimulantes e microrganismos ao longo de ciclos de cultivo prolongados. De acordo com </w:t>
      </w:r>
      <w:proofErr w:type="spellStart"/>
      <w:r w:rsidRPr="00A22460">
        <w:rPr>
          <w:rFonts w:ascii="Times New Roman" w:hAnsi="Times New Roman"/>
          <w:sz w:val="24"/>
          <w:szCs w:val="24"/>
        </w:rPr>
        <w:t>Kaushal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 </w:t>
      </w:r>
      <w:r w:rsidRPr="00A22460">
        <w:rPr>
          <w:rFonts w:ascii="Times New Roman" w:hAnsi="Times New Roman"/>
          <w:i/>
          <w:iCs/>
          <w:sz w:val="24"/>
          <w:szCs w:val="24"/>
        </w:rPr>
        <w:t>et al.</w:t>
      </w:r>
      <w:r w:rsidRPr="00A22460">
        <w:rPr>
          <w:rFonts w:ascii="Times New Roman" w:hAnsi="Times New Roman"/>
          <w:sz w:val="24"/>
          <w:szCs w:val="24"/>
        </w:rPr>
        <w:t xml:space="preserve"> (2023), a combinação de diferentes tipos de </w:t>
      </w:r>
      <w:proofErr w:type="spellStart"/>
      <w:r w:rsidRPr="00A22460">
        <w:rPr>
          <w:rFonts w:ascii="Times New Roman" w:hAnsi="Times New Roman"/>
          <w:sz w:val="24"/>
          <w:szCs w:val="24"/>
        </w:rPr>
        <w:t>bioestimulantes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22460">
        <w:rPr>
          <w:rFonts w:ascii="Times New Roman" w:hAnsi="Times New Roman"/>
          <w:sz w:val="24"/>
          <w:szCs w:val="24"/>
        </w:rPr>
        <w:t>microorganismos</w:t>
      </w:r>
      <w:proofErr w:type="spellEnd"/>
      <w:r w:rsidRPr="00A22460">
        <w:rPr>
          <w:rFonts w:ascii="Times New Roman" w:hAnsi="Times New Roman"/>
          <w:sz w:val="24"/>
          <w:szCs w:val="24"/>
        </w:rPr>
        <w:t>, aplicados em doses variadas e ao longo de ciclos de cultivo, pode aumentar a resiliência das culturas e adaptar melhor as plantas a estresses sazonais e de longa duração.</w:t>
      </w:r>
    </w:p>
    <w:p w14:paraId="53A9785E" w14:textId="7C6DABD2" w:rsidR="00D46290" w:rsidRPr="00A22460" w:rsidRDefault="00D46290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 xml:space="preserve">Por fim, os estudos futuros também podem explorar a variabilidade de espécies e sua resposta aos bioestimulantes, uma vez que diferentes culturas podem reagir distintamente às combinações de microrganismos e bioestimulantes. </w:t>
      </w:r>
      <w:proofErr w:type="spellStart"/>
      <w:r w:rsidRPr="00A22460">
        <w:rPr>
          <w:rFonts w:ascii="Times New Roman" w:hAnsi="Times New Roman"/>
          <w:sz w:val="24"/>
          <w:szCs w:val="24"/>
        </w:rPr>
        <w:t>Bonatelli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 </w:t>
      </w:r>
      <w:r w:rsidRPr="00A22460">
        <w:rPr>
          <w:rFonts w:ascii="Times New Roman" w:hAnsi="Times New Roman"/>
          <w:i/>
          <w:iCs/>
          <w:sz w:val="24"/>
          <w:szCs w:val="24"/>
        </w:rPr>
        <w:t>et al.</w:t>
      </w:r>
      <w:r w:rsidRPr="00A22460">
        <w:rPr>
          <w:rFonts w:ascii="Times New Roman" w:hAnsi="Times New Roman"/>
          <w:sz w:val="24"/>
          <w:szCs w:val="24"/>
        </w:rPr>
        <w:t xml:space="preserve"> (2021) apontam que o comportamento diferencial das espécies agrícolas frente aos bioestimulantes indica a necessidade de testar a adaptação específica de cada cultura, promovendo uma agricultura de precisão mais eficiente no contexto do Cerrado.</w:t>
      </w:r>
    </w:p>
    <w:p w14:paraId="2C8E8567" w14:textId="77777777" w:rsidR="00845683" w:rsidRPr="00A22460" w:rsidRDefault="00845683" w:rsidP="00AA5D6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0875EF1" w14:textId="77777777" w:rsidR="00C25E75" w:rsidRPr="00A22460" w:rsidRDefault="00C25E75" w:rsidP="00AA5D6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085F9F6" w14:textId="19A6287B" w:rsidR="00C75629" w:rsidRPr="00A22460" w:rsidRDefault="005758D0" w:rsidP="00AA5D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2460">
        <w:rPr>
          <w:rFonts w:ascii="Times New Roman" w:hAnsi="Times New Roman"/>
          <w:b/>
          <w:sz w:val="24"/>
          <w:szCs w:val="24"/>
        </w:rPr>
        <w:t xml:space="preserve">6 </w:t>
      </w:r>
      <w:r w:rsidR="000C4F6E" w:rsidRPr="00A22460">
        <w:rPr>
          <w:rFonts w:ascii="Times New Roman" w:hAnsi="Times New Roman"/>
          <w:b/>
          <w:sz w:val="24"/>
          <w:szCs w:val="24"/>
        </w:rPr>
        <w:t>CONCLUSÃO</w:t>
      </w:r>
    </w:p>
    <w:p w14:paraId="027C44D3" w14:textId="77777777" w:rsidR="00845994" w:rsidRPr="00A22460" w:rsidRDefault="00845994" w:rsidP="00AA5D66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1A1FF4F9" w14:textId="2DB19E89" w:rsidR="00860DFA" w:rsidRPr="00A22460" w:rsidRDefault="00860DFA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 xml:space="preserve">A altura de planta (AP) </w:t>
      </w:r>
      <w:r w:rsidR="000F0498" w:rsidRPr="00A22460">
        <w:rPr>
          <w:rFonts w:ascii="Times New Roman" w:hAnsi="Times New Roman"/>
          <w:sz w:val="24"/>
          <w:szCs w:val="24"/>
        </w:rPr>
        <w:t xml:space="preserve">e </w:t>
      </w:r>
      <w:r w:rsidRPr="00A22460">
        <w:rPr>
          <w:rFonts w:ascii="Times New Roman" w:hAnsi="Times New Roman"/>
          <w:sz w:val="24"/>
          <w:szCs w:val="24"/>
        </w:rPr>
        <w:t xml:space="preserve">diâmetro de caule (DC) não </w:t>
      </w:r>
      <w:r w:rsidR="00474A09" w:rsidRPr="00A22460">
        <w:rPr>
          <w:rFonts w:ascii="Times New Roman" w:hAnsi="Times New Roman"/>
          <w:sz w:val="24"/>
          <w:szCs w:val="24"/>
        </w:rPr>
        <w:t xml:space="preserve">foram </w:t>
      </w:r>
      <w:r w:rsidRPr="00A22460">
        <w:rPr>
          <w:rFonts w:ascii="Times New Roman" w:hAnsi="Times New Roman"/>
          <w:sz w:val="24"/>
          <w:szCs w:val="24"/>
        </w:rPr>
        <w:t>significativo</w:t>
      </w:r>
      <w:r w:rsidR="00474A09" w:rsidRPr="00A22460">
        <w:rPr>
          <w:rFonts w:ascii="Times New Roman" w:hAnsi="Times New Roman"/>
          <w:sz w:val="24"/>
          <w:szCs w:val="24"/>
        </w:rPr>
        <w:t>s</w:t>
      </w:r>
      <w:r w:rsidRPr="00A22460">
        <w:rPr>
          <w:rFonts w:ascii="Times New Roman" w:hAnsi="Times New Roman"/>
          <w:sz w:val="24"/>
          <w:szCs w:val="24"/>
        </w:rPr>
        <w:t xml:space="preserve"> em </w:t>
      </w:r>
      <w:r w:rsidR="009D7E68" w:rsidRPr="00A22460">
        <w:rPr>
          <w:rFonts w:ascii="Times New Roman" w:hAnsi="Times New Roman"/>
          <w:sz w:val="24"/>
          <w:szCs w:val="24"/>
        </w:rPr>
        <w:t>ambos os tratamentos</w:t>
      </w:r>
      <w:r w:rsidRPr="00A22460">
        <w:rPr>
          <w:rFonts w:ascii="Times New Roman" w:hAnsi="Times New Roman"/>
          <w:sz w:val="24"/>
          <w:szCs w:val="24"/>
        </w:rPr>
        <w:t xml:space="preserve">, diferente do número de folhas (NF), que para bioestimulantes apresentou uma maior média em relação ao </w:t>
      </w:r>
      <w:r w:rsidRPr="00A22460">
        <w:rPr>
          <w:rFonts w:ascii="Times New Roman" w:hAnsi="Times New Roman"/>
          <w:sz w:val="24"/>
          <w:szCs w:val="24"/>
        </w:rPr>
        <w:lastRenderedPageBreak/>
        <w:t>micro +</w:t>
      </w:r>
      <w:r w:rsidR="000F0498" w:rsidRPr="00A224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460">
        <w:rPr>
          <w:rFonts w:ascii="Times New Roman" w:hAnsi="Times New Roman"/>
          <w:sz w:val="24"/>
          <w:szCs w:val="24"/>
        </w:rPr>
        <w:t>bio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 e micro</w:t>
      </w:r>
      <w:r w:rsidRPr="00A22460">
        <w:rPr>
          <w:rFonts w:ascii="Times New Roman" w:hAnsi="Times New Roman"/>
          <w:i/>
          <w:sz w:val="24"/>
          <w:szCs w:val="24"/>
        </w:rPr>
        <w:t xml:space="preserve"> (</w:t>
      </w:r>
      <w:proofErr w:type="spellStart"/>
      <w:r w:rsidRPr="00A22460">
        <w:rPr>
          <w:rFonts w:ascii="Times New Roman" w:hAnsi="Times New Roman"/>
          <w:i/>
          <w:sz w:val="24"/>
          <w:szCs w:val="24"/>
        </w:rPr>
        <w:t>Ascophyllum</w:t>
      </w:r>
      <w:proofErr w:type="spellEnd"/>
      <w:r w:rsidRPr="00A2246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2460">
        <w:rPr>
          <w:rFonts w:ascii="Times New Roman" w:hAnsi="Times New Roman"/>
          <w:i/>
          <w:sz w:val="24"/>
          <w:szCs w:val="24"/>
        </w:rPr>
        <w:t>nodusum</w:t>
      </w:r>
      <w:proofErr w:type="spellEnd"/>
      <w:r w:rsidRPr="00A22460">
        <w:rPr>
          <w:rFonts w:ascii="Times New Roman" w:hAnsi="Times New Roman"/>
          <w:i/>
          <w:sz w:val="24"/>
          <w:szCs w:val="24"/>
        </w:rPr>
        <w:t xml:space="preserve"> + </w:t>
      </w:r>
      <w:proofErr w:type="spellStart"/>
      <w:r w:rsidRPr="00A22460">
        <w:rPr>
          <w:rFonts w:ascii="Times New Roman" w:hAnsi="Times New Roman"/>
          <w:i/>
          <w:sz w:val="24"/>
          <w:szCs w:val="24"/>
        </w:rPr>
        <w:t>Kappaphycus</w:t>
      </w:r>
      <w:proofErr w:type="spellEnd"/>
      <w:r w:rsidRPr="00A2246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2460">
        <w:rPr>
          <w:rFonts w:ascii="Times New Roman" w:hAnsi="Times New Roman"/>
          <w:i/>
          <w:sz w:val="24"/>
          <w:szCs w:val="24"/>
        </w:rPr>
        <w:t>alvarezii</w:t>
      </w:r>
      <w:proofErr w:type="spellEnd"/>
      <w:r w:rsidRPr="00A22460">
        <w:rPr>
          <w:rFonts w:ascii="Times New Roman" w:hAnsi="Times New Roman"/>
          <w:sz w:val="24"/>
          <w:szCs w:val="24"/>
        </w:rPr>
        <w:t>.) + complexo de aminoácidos contendo (Prolina + arginina).</w:t>
      </w:r>
    </w:p>
    <w:p w14:paraId="5705AB74" w14:textId="1BBE7CA3" w:rsidR="00860DFA" w:rsidRPr="00A22460" w:rsidRDefault="00860DFA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 xml:space="preserve">A variável área foliar foi significativo </w:t>
      </w:r>
      <w:r w:rsidR="000F0498" w:rsidRPr="00A22460">
        <w:rPr>
          <w:rFonts w:ascii="Times New Roman" w:hAnsi="Times New Roman"/>
          <w:sz w:val="24"/>
          <w:szCs w:val="24"/>
        </w:rPr>
        <w:t xml:space="preserve">para </w:t>
      </w:r>
      <w:r w:rsidRPr="00A22460">
        <w:rPr>
          <w:rFonts w:ascii="Times New Roman" w:hAnsi="Times New Roman"/>
          <w:sz w:val="24"/>
          <w:szCs w:val="24"/>
        </w:rPr>
        <w:t>os tratamentos</w:t>
      </w:r>
      <w:r w:rsidR="000F0498" w:rsidRPr="00A22460">
        <w:rPr>
          <w:rFonts w:ascii="Times New Roman" w:hAnsi="Times New Roman"/>
          <w:sz w:val="24"/>
          <w:szCs w:val="24"/>
        </w:rPr>
        <w:t>,</w:t>
      </w:r>
      <w:r w:rsidRPr="00A22460">
        <w:rPr>
          <w:rFonts w:ascii="Times New Roman" w:hAnsi="Times New Roman"/>
          <w:sz w:val="24"/>
          <w:szCs w:val="24"/>
        </w:rPr>
        <w:t xml:space="preserve"> tendo uma média de 516,79 cm</w:t>
      </w:r>
      <w:r w:rsidRPr="00A22460">
        <w:rPr>
          <w:rFonts w:ascii="Times New Roman" w:hAnsi="Times New Roman"/>
          <w:sz w:val="24"/>
          <w:szCs w:val="24"/>
          <w:vertAlign w:val="superscript"/>
        </w:rPr>
        <w:t>2</w:t>
      </w:r>
      <w:r w:rsidRPr="00A22460">
        <w:rPr>
          <w:rFonts w:ascii="Times New Roman" w:hAnsi="Times New Roman"/>
          <w:sz w:val="24"/>
          <w:szCs w:val="24"/>
        </w:rPr>
        <w:t xml:space="preserve">. </w:t>
      </w:r>
    </w:p>
    <w:p w14:paraId="72A0990E" w14:textId="4E14B9C6" w:rsidR="00845683" w:rsidRPr="00A22460" w:rsidRDefault="00860DFA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>Na reposição hídrica todas as variáveis tiveram um incremento significativo, mas apenas altura de planta teve uma economia de 2% de água e diâmetro de caule 5,84%, com incremento de 60,4% para altura de planta e 30,86% para diâmetro de caule.</w:t>
      </w:r>
      <w:bookmarkStart w:id="22" w:name="_heading=h.3o7alnk" w:colFirst="0" w:colLast="0"/>
      <w:bookmarkEnd w:id="22"/>
    </w:p>
    <w:p w14:paraId="3C15D4E9" w14:textId="77777777" w:rsidR="00F2678C" w:rsidRPr="00A22460" w:rsidRDefault="00F2678C" w:rsidP="00AA5D6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133123F" w14:textId="77777777" w:rsidR="00C25E75" w:rsidRPr="00A22460" w:rsidRDefault="00C25E75" w:rsidP="00AA5D6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5CB7EAE" w14:textId="51EFB202" w:rsidR="00AF76E8" w:rsidRPr="00A22460" w:rsidRDefault="005758D0" w:rsidP="00AA5D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2460">
        <w:rPr>
          <w:rFonts w:ascii="Times New Roman" w:hAnsi="Times New Roman"/>
          <w:b/>
          <w:sz w:val="24"/>
          <w:szCs w:val="24"/>
        </w:rPr>
        <w:t xml:space="preserve">7 </w:t>
      </w:r>
      <w:r w:rsidR="000C4F6E" w:rsidRPr="00A22460">
        <w:rPr>
          <w:rFonts w:ascii="Times New Roman" w:hAnsi="Times New Roman"/>
          <w:b/>
          <w:sz w:val="24"/>
          <w:szCs w:val="24"/>
        </w:rPr>
        <w:t>AGRADECIMENTOS</w:t>
      </w:r>
    </w:p>
    <w:p w14:paraId="557D4C1C" w14:textId="77777777" w:rsidR="00D554BF" w:rsidRPr="00A22460" w:rsidRDefault="00D554BF" w:rsidP="00AA5D6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A91F5E" w14:textId="26A2D16A" w:rsidR="00C25E75" w:rsidRPr="00A22460" w:rsidRDefault="00142747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>Os autores agradecem ao Ministério da Ciência, Tecnologia e Inovações (MCTI), a Financiadora de Estudos e Projetos (Finep), ao Conselho Nacional de Desenvolvimento Científico e Tecnológico (CNPq), à Coordenação de Aperfeiçoamento de Pessoal de Nível Superior (Capes), à Fundação de Amparo à Pesquisa do Estado de Goiás (FAPEG)</w:t>
      </w:r>
      <w:r w:rsidR="00EE6E10" w:rsidRPr="00A22460">
        <w:rPr>
          <w:rFonts w:ascii="Times New Roman" w:hAnsi="Times New Roman"/>
          <w:sz w:val="24"/>
          <w:szCs w:val="24"/>
        </w:rPr>
        <w:t>, ao Centro de Excelência em Agricultura Exponencial (CEAGRE), ao Instituto Federal Goiano (IF Goiano)</w:t>
      </w:r>
      <w:r w:rsidRPr="00A22460">
        <w:rPr>
          <w:rFonts w:ascii="Times New Roman" w:hAnsi="Times New Roman"/>
          <w:sz w:val="24"/>
          <w:szCs w:val="24"/>
        </w:rPr>
        <w:t xml:space="preserve"> e a </w:t>
      </w:r>
      <w:proofErr w:type="spellStart"/>
      <w:r w:rsidRPr="00A22460">
        <w:rPr>
          <w:rFonts w:ascii="Times New Roman" w:hAnsi="Times New Roman"/>
          <w:sz w:val="24"/>
          <w:szCs w:val="24"/>
        </w:rPr>
        <w:t>Pró-Reitoria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 de Pesquisa e Inovação (PRPI) da Universidade de Rio Verde (</w:t>
      </w:r>
      <w:proofErr w:type="spellStart"/>
      <w:r w:rsidRPr="00A22460">
        <w:rPr>
          <w:rFonts w:ascii="Times New Roman" w:hAnsi="Times New Roman"/>
          <w:sz w:val="24"/>
          <w:szCs w:val="24"/>
        </w:rPr>
        <w:t>UniRV</w:t>
      </w:r>
      <w:proofErr w:type="spellEnd"/>
      <w:r w:rsidRPr="00A22460">
        <w:rPr>
          <w:rFonts w:ascii="Times New Roman" w:hAnsi="Times New Roman"/>
          <w:sz w:val="24"/>
          <w:szCs w:val="24"/>
        </w:rPr>
        <w:t>), pelo apoio financeiro e estrutural para a condução deste estudo.</w:t>
      </w:r>
    </w:p>
    <w:p w14:paraId="7FCFE6DD" w14:textId="77777777" w:rsidR="00C25E75" w:rsidRPr="00A22460" w:rsidRDefault="00C25E75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BAE70D3" w14:textId="77777777" w:rsidR="00C25E75" w:rsidRPr="00A22460" w:rsidRDefault="00C25E75" w:rsidP="00AA5D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0B48D92" w14:textId="4C4D4050" w:rsidR="00C75629" w:rsidRPr="00A22460" w:rsidRDefault="005758D0" w:rsidP="000A312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2460">
        <w:rPr>
          <w:rFonts w:ascii="Times New Roman" w:hAnsi="Times New Roman"/>
          <w:b/>
          <w:sz w:val="24"/>
          <w:szCs w:val="24"/>
        </w:rPr>
        <w:t xml:space="preserve">8 </w:t>
      </w:r>
      <w:r w:rsidR="000C4F6E" w:rsidRPr="00A22460">
        <w:rPr>
          <w:rFonts w:ascii="Times New Roman" w:hAnsi="Times New Roman"/>
          <w:b/>
          <w:sz w:val="24"/>
          <w:szCs w:val="24"/>
        </w:rPr>
        <w:t>REFERÊNCIAS</w:t>
      </w:r>
    </w:p>
    <w:p w14:paraId="2C451D78" w14:textId="34ECB8D4" w:rsidR="000C4F6E" w:rsidRPr="00A22460" w:rsidRDefault="000C4F6E" w:rsidP="00AA5D66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2BA70D60" w14:textId="0EAAD70A" w:rsidR="0082005F" w:rsidRPr="00A22460" w:rsidRDefault="0082005F" w:rsidP="00AA5D66">
      <w:pPr>
        <w:spacing w:after="0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 xml:space="preserve">ADAMI, M.; HASTENREITER, F. A.; FLUMIGNAN, D. L.; FARIA, R. T. Estimativa de área de folíolos de soja usando imagens digitais e dimensões foliares. </w:t>
      </w:r>
      <w:proofErr w:type="spellStart"/>
      <w:r w:rsidRPr="00A22460">
        <w:rPr>
          <w:rFonts w:ascii="Times New Roman" w:hAnsi="Times New Roman"/>
          <w:b/>
          <w:bCs/>
          <w:sz w:val="24"/>
          <w:szCs w:val="24"/>
        </w:rPr>
        <w:t>Bragantia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, </w:t>
      </w:r>
      <w:r w:rsidR="00D53129" w:rsidRPr="00A22460">
        <w:rPr>
          <w:rFonts w:ascii="Times New Roman" w:hAnsi="Times New Roman"/>
          <w:sz w:val="24"/>
          <w:szCs w:val="24"/>
        </w:rPr>
        <w:t xml:space="preserve">Campinas, </w:t>
      </w:r>
      <w:r w:rsidRPr="00A22460">
        <w:rPr>
          <w:rFonts w:ascii="Times New Roman" w:hAnsi="Times New Roman"/>
          <w:sz w:val="24"/>
          <w:szCs w:val="24"/>
        </w:rPr>
        <w:t>v. 67, n. 4, p. 1053-1058, 2008.</w:t>
      </w:r>
    </w:p>
    <w:p w14:paraId="415CE936" w14:textId="77777777" w:rsidR="00A54333" w:rsidRPr="00A22460" w:rsidRDefault="00A54333" w:rsidP="00AA5D66">
      <w:pPr>
        <w:spacing w:after="0"/>
        <w:rPr>
          <w:rFonts w:ascii="Times New Roman" w:hAnsi="Times New Roman"/>
          <w:sz w:val="24"/>
          <w:szCs w:val="24"/>
        </w:rPr>
      </w:pPr>
    </w:p>
    <w:p w14:paraId="4A41BB79" w14:textId="696BADD3" w:rsidR="0082005F" w:rsidRPr="00A22460" w:rsidRDefault="0082005F" w:rsidP="00AA5D66">
      <w:pPr>
        <w:spacing w:after="0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 xml:space="preserve">ALVARES, C. A.; STAPE, J. L.; SENTELHAS, P. C.; GONÇALVES, J. L. D. M.; SPAROVEK, G. </w:t>
      </w:r>
      <w:proofErr w:type="spellStart"/>
      <w:r w:rsidRPr="00A22460">
        <w:rPr>
          <w:rFonts w:ascii="Times New Roman" w:hAnsi="Times New Roman"/>
          <w:sz w:val="24"/>
          <w:szCs w:val="24"/>
        </w:rPr>
        <w:t>Köppen’s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460">
        <w:rPr>
          <w:rFonts w:ascii="Times New Roman" w:hAnsi="Times New Roman"/>
          <w:sz w:val="24"/>
          <w:szCs w:val="24"/>
        </w:rPr>
        <w:t>climate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460">
        <w:rPr>
          <w:rFonts w:ascii="Times New Roman" w:hAnsi="Times New Roman"/>
          <w:sz w:val="24"/>
          <w:szCs w:val="24"/>
        </w:rPr>
        <w:t>classification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460">
        <w:rPr>
          <w:rFonts w:ascii="Times New Roman" w:hAnsi="Times New Roman"/>
          <w:sz w:val="24"/>
          <w:szCs w:val="24"/>
        </w:rPr>
        <w:t>map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 for </w:t>
      </w:r>
      <w:proofErr w:type="spellStart"/>
      <w:r w:rsidRPr="00A22460">
        <w:rPr>
          <w:rFonts w:ascii="Times New Roman" w:hAnsi="Times New Roman"/>
          <w:sz w:val="24"/>
          <w:szCs w:val="24"/>
        </w:rPr>
        <w:t>Brazil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22460">
        <w:rPr>
          <w:rFonts w:ascii="Times New Roman" w:hAnsi="Times New Roman"/>
          <w:b/>
          <w:bCs/>
          <w:sz w:val="24"/>
          <w:szCs w:val="24"/>
        </w:rPr>
        <w:t>Meteorol</w:t>
      </w:r>
      <w:proofErr w:type="spellEnd"/>
      <w:r w:rsidR="00D53129" w:rsidRPr="00A22460">
        <w:rPr>
          <w:rFonts w:ascii="Times New Roman" w:hAnsi="Times New Roman"/>
          <w:b/>
          <w:bCs/>
          <w:sz w:val="24"/>
          <w:szCs w:val="24"/>
        </w:rPr>
        <w:t>,</w:t>
      </w:r>
      <w:r w:rsidRPr="00A224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460">
        <w:rPr>
          <w:rFonts w:ascii="Times New Roman" w:hAnsi="Times New Roman"/>
          <w:sz w:val="24"/>
          <w:szCs w:val="24"/>
        </w:rPr>
        <w:t>Zeitschrift</w:t>
      </w:r>
      <w:proofErr w:type="spellEnd"/>
      <w:r w:rsidR="00C043D7" w:rsidRPr="00A22460">
        <w:rPr>
          <w:rFonts w:ascii="Times New Roman" w:hAnsi="Times New Roman"/>
          <w:sz w:val="24"/>
          <w:szCs w:val="24"/>
        </w:rPr>
        <w:t>, v.</w:t>
      </w:r>
      <w:r w:rsidRPr="00A22460">
        <w:rPr>
          <w:rFonts w:ascii="Times New Roman" w:hAnsi="Times New Roman"/>
          <w:sz w:val="24"/>
          <w:szCs w:val="24"/>
        </w:rPr>
        <w:t xml:space="preserve"> 22,</w:t>
      </w:r>
      <w:r w:rsidR="00C043D7" w:rsidRPr="00A22460">
        <w:rPr>
          <w:rFonts w:ascii="Times New Roman" w:hAnsi="Times New Roman"/>
          <w:sz w:val="24"/>
          <w:szCs w:val="24"/>
        </w:rPr>
        <w:t xml:space="preserve"> n. </w:t>
      </w:r>
      <w:r w:rsidR="00EB05AD" w:rsidRPr="00A22460">
        <w:rPr>
          <w:rFonts w:ascii="Times New Roman" w:hAnsi="Times New Roman"/>
          <w:sz w:val="24"/>
          <w:szCs w:val="24"/>
        </w:rPr>
        <w:t>6</w:t>
      </w:r>
      <w:r w:rsidR="00C043D7" w:rsidRPr="00A22460">
        <w:rPr>
          <w:rFonts w:ascii="Times New Roman" w:hAnsi="Times New Roman"/>
          <w:sz w:val="24"/>
          <w:szCs w:val="24"/>
        </w:rPr>
        <w:t>,</w:t>
      </w:r>
      <w:r w:rsidRPr="00A22460">
        <w:rPr>
          <w:rFonts w:ascii="Times New Roman" w:hAnsi="Times New Roman"/>
          <w:sz w:val="24"/>
          <w:szCs w:val="24"/>
        </w:rPr>
        <w:t xml:space="preserve"> </w:t>
      </w:r>
      <w:r w:rsidR="00FC3CAC">
        <w:rPr>
          <w:rFonts w:ascii="Times New Roman" w:hAnsi="Times New Roman"/>
          <w:sz w:val="24"/>
          <w:szCs w:val="24"/>
        </w:rPr>
        <w:t xml:space="preserve">p. </w:t>
      </w:r>
      <w:r w:rsidRPr="00A22460">
        <w:rPr>
          <w:rFonts w:ascii="Times New Roman" w:hAnsi="Times New Roman"/>
          <w:sz w:val="24"/>
          <w:szCs w:val="24"/>
        </w:rPr>
        <w:t>711</w:t>
      </w:r>
      <w:r w:rsidR="00C043D7" w:rsidRPr="00A22460">
        <w:rPr>
          <w:rFonts w:ascii="Times New Roman" w:hAnsi="Times New Roman"/>
          <w:sz w:val="24"/>
          <w:szCs w:val="24"/>
        </w:rPr>
        <w:t>-</w:t>
      </w:r>
      <w:r w:rsidRPr="00A22460">
        <w:rPr>
          <w:rFonts w:ascii="Times New Roman" w:hAnsi="Times New Roman"/>
          <w:sz w:val="24"/>
          <w:szCs w:val="24"/>
        </w:rPr>
        <w:t>728</w:t>
      </w:r>
      <w:r w:rsidR="006A681A" w:rsidRPr="00A22460">
        <w:rPr>
          <w:rFonts w:ascii="Times New Roman" w:hAnsi="Times New Roman"/>
          <w:sz w:val="24"/>
          <w:szCs w:val="24"/>
        </w:rPr>
        <w:t>, 2013.</w:t>
      </w:r>
    </w:p>
    <w:p w14:paraId="70BFDE30" w14:textId="77777777" w:rsidR="00A54333" w:rsidRPr="00A22460" w:rsidRDefault="00A54333" w:rsidP="00AA5D66">
      <w:pPr>
        <w:spacing w:after="0"/>
        <w:rPr>
          <w:rFonts w:ascii="Times New Roman" w:hAnsi="Times New Roman"/>
          <w:sz w:val="24"/>
          <w:szCs w:val="24"/>
        </w:rPr>
      </w:pPr>
    </w:p>
    <w:p w14:paraId="26D66C88" w14:textId="163B369B" w:rsidR="00C22474" w:rsidRPr="00A22460" w:rsidRDefault="00C22474" w:rsidP="00AA5D66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22460">
        <w:rPr>
          <w:rFonts w:ascii="Times New Roman" w:hAnsi="Times New Roman"/>
          <w:sz w:val="24"/>
          <w:szCs w:val="24"/>
        </w:rPr>
        <w:t xml:space="preserve">ÁLVAREZ, S. P.; ARBELO, O. C.; PÉREZ, M. E.; QUEZADA, G. Á. Pseudomonas </w:t>
      </w:r>
      <w:proofErr w:type="spellStart"/>
      <w:r w:rsidRPr="00A22460">
        <w:rPr>
          <w:rFonts w:ascii="Times New Roman" w:hAnsi="Times New Roman"/>
          <w:sz w:val="24"/>
          <w:szCs w:val="24"/>
        </w:rPr>
        <w:t>fluorescens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460">
        <w:rPr>
          <w:rFonts w:ascii="Times New Roman" w:hAnsi="Times New Roman"/>
          <w:sz w:val="24"/>
          <w:szCs w:val="24"/>
        </w:rPr>
        <w:t>Migula</w:t>
      </w:r>
      <w:proofErr w:type="spellEnd"/>
      <w:r w:rsidRPr="00A22460">
        <w:rPr>
          <w:rFonts w:ascii="Times New Roman" w:hAnsi="Times New Roman"/>
          <w:sz w:val="24"/>
          <w:szCs w:val="24"/>
        </w:rPr>
        <w:t>, ¿</w:t>
      </w:r>
      <w:proofErr w:type="spellStart"/>
      <w:r w:rsidRPr="00A22460">
        <w:rPr>
          <w:rFonts w:ascii="Times New Roman" w:hAnsi="Times New Roman"/>
          <w:sz w:val="24"/>
          <w:szCs w:val="24"/>
        </w:rPr>
        <w:t>control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 biológico o patógeno? </w:t>
      </w:r>
      <w:r w:rsidRPr="00A22460">
        <w:rPr>
          <w:rFonts w:ascii="Times New Roman" w:hAnsi="Times New Roman"/>
          <w:b/>
          <w:bCs/>
          <w:sz w:val="24"/>
          <w:szCs w:val="24"/>
        </w:rPr>
        <w:t xml:space="preserve">Revista de </w:t>
      </w:r>
      <w:proofErr w:type="spellStart"/>
      <w:r w:rsidRPr="00A22460">
        <w:rPr>
          <w:rFonts w:ascii="Times New Roman" w:hAnsi="Times New Roman"/>
          <w:b/>
          <w:bCs/>
          <w:sz w:val="24"/>
          <w:szCs w:val="24"/>
        </w:rPr>
        <w:t>Protección</w:t>
      </w:r>
      <w:proofErr w:type="spellEnd"/>
      <w:r w:rsidRPr="00A22460">
        <w:rPr>
          <w:rFonts w:ascii="Times New Roman" w:hAnsi="Times New Roman"/>
          <w:b/>
          <w:bCs/>
          <w:sz w:val="24"/>
          <w:szCs w:val="24"/>
        </w:rPr>
        <w:t xml:space="preserve"> Vegetal</w:t>
      </w:r>
      <w:r w:rsidRPr="00A224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2460">
        <w:rPr>
          <w:rFonts w:ascii="Times New Roman" w:hAnsi="Times New Roman"/>
          <w:sz w:val="24"/>
          <w:szCs w:val="24"/>
        </w:rPr>
        <w:t>Mayabeque</w:t>
      </w:r>
      <w:proofErr w:type="spellEnd"/>
      <w:r w:rsidRPr="00A22460">
        <w:rPr>
          <w:rFonts w:ascii="Times New Roman" w:hAnsi="Times New Roman"/>
          <w:sz w:val="24"/>
          <w:szCs w:val="24"/>
        </w:rPr>
        <w:t>, v. 30, n. 3, p. 225</w:t>
      </w:r>
      <w:r w:rsidR="00C043D7" w:rsidRPr="00A22460">
        <w:rPr>
          <w:rFonts w:ascii="Times New Roman" w:hAnsi="Times New Roman"/>
          <w:sz w:val="24"/>
          <w:szCs w:val="24"/>
        </w:rPr>
        <w:t>-</w:t>
      </w:r>
      <w:r w:rsidR="00EB05AD" w:rsidRPr="00A22460">
        <w:rPr>
          <w:rFonts w:ascii="Times New Roman" w:hAnsi="Times New Roman"/>
          <w:sz w:val="24"/>
          <w:szCs w:val="24"/>
        </w:rPr>
        <w:t>234</w:t>
      </w:r>
      <w:r w:rsidRPr="00A22460">
        <w:rPr>
          <w:rFonts w:ascii="Times New Roman" w:hAnsi="Times New Roman"/>
          <w:sz w:val="24"/>
          <w:szCs w:val="24"/>
        </w:rPr>
        <w:t>, 2016.</w:t>
      </w:r>
    </w:p>
    <w:p w14:paraId="631FC1DE" w14:textId="77777777" w:rsidR="00A54333" w:rsidRPr="00A22460" w:rsidRDefault="00A54333" w:rsidP="00AA5D66">
      <w:pPr>
        <w:spacing w:after="0"/>
        <w:rPr>
          <w:rFonts w:ascii="Times New Roman" w:hAnsi="Times New Roman"/>
          <w:sz w:val="24"/>
          <w:szCs w:val="24"/>
        </w:rPr>
      </w:pPr>
    </w:p>
    <w:p w14:paraId="00F096EB" w14:textId="209BB9EB" w:rsidR="0082005F" w:rsidRPr="00A22460" w:rsidRDefault="0082005F" w:rsidP="00AA5D66">
      <w:pPr>
        <w:spacing w:after="0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  <w:lang w:val="en-US"/>
        </w:rPr>
        <w:t xml:space="preserve">BONATELLI, M. L.; LACERDA-JÚNIOR, G. V.; REIS JUNIOR, F. B.; FERNANDES-JÚNIOR, P. I.; MELO, I. S.; QUECINE, M. C. Beneficial Plant-Associated Microorganisms </w:t>
      </w:r>
      <w:proofErr w:type="gramStart"/>
      <w:r w:rsidRPr="00A22460">
        <w:rPr>
          <w:rFonts w:ascii="Times New Roman" w:hAnsi="Times New Roman"/>
          <w:sz w:val="24"/>
          <w:szCs w:val="24"/>
          <w:lang w:val="en-US"/>
        </w:rPr>
        <w:t>From</w:t>
      </w:r>
      <w:proofErr w:type="gramEnd"/>
      <w:r w:rsidRPr="00A22460">
        <w:rPr>
          <w:rFonts w:ascii="Times New Roman" w:hAnsi="Times New Roman"/>
          <w:sz w:val="24"/>
          <w:szCs w:val="24"/>
          <w:lang w:val="en-US"/>
        </w:rPr>
        <w:t xml:space="preserve"> Semiarid Regions and Seasonally Dry Environments: A Review. </w:t>
      </w:r>
      <w:proofErr w:type="spellStart"/>
      <w:r w:rsidRPr="00A22460">
        <w:rPr>
          <w:rFonts w:ascii="Times New Roman" w:hAnsi="Times New Roman"/>
          <w:b/>
          <w:sz w:val="24"/>
          <w:szCs w:val="24"/>
        </w:rPr>
        <w:t>Frontiers</w:t>
      </w:r>
      <w:proofErr w:type="spellEnd"/>
      <w:r w:rsidRPr="00A22460">
        <w:rPr>
          <w:rFonts w:ascii="Times New Roman" w:hAnsi="Times New Roman"/>
          <w:b/>
          <w:sz w:val="24"/>
          <w:szCs w:val="24"/>
        </w:rPr>
        <w:t xml:space="preserve"> in </w:t>
      </w:r>
      <w:proofErr w:type="spellStart"/>
      <w:r w:rsidRPr="00A22460">
        <w:rPr>
          <w:rFonts w:ascii="Times New Roman" w:hAnsi="Times New Roman"/>
          <w:b/>
          <w:sz w:val="24"/>
          <w:szCs w:val="24"/>
        </w:rPr>
        <w:t>Microbiology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, </w:t>
      </w:r>
      <w:r w:rsidR="00D53129" w:rsidRPr="00A22460">
        <w:rPr>
          <w:rFonts w:ascii="Times New Roman" w:hAnsi="Times New Roman"/>
          <w:sz w:val="24"/>
          <w:szCs w:val="24"/>
        </w:rPr>
        <w:t>Lausanne,</w:t>
      </w:r>
      <w:r w:rsidR="00F55791" w:rsidRPr="00A22460">
        <w:rPr>
          <w:rFonts w:ascii="Times New Roman" w:hAnsi="Times New Roman"/>
          <w:sz w:val="24"/>
          <w:szCs w:val="24"/>
        </w:rPr>
        <w:t xml:space="preserve"> v. </w:t>
      </w:r>
      <w:r w:rsidR="0097246B" w:rsidRPr="00A22460">
        <w:rPr>
          <w:rFonts w:ascii="Times New Roman" w:hAnsi="Times New Roman"/>
          <w:sz w:val="24"/>
          <w:szCs w:val="24"/>
        </w:rPr>
        <w:t>11</w:t>
      </w:r>
      <w:r w:rsidR="00F55791" w:rsidRPr="00A224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55791" w:rsidRPr="00A22460">
        <w:rPr>
          <w:rFonts w:ascii="Times New Roman" w:hAnsi="Times New Roman"/>
          <w:sz w:val="24"/>
          <w:szCs w:val="24"/>
        </w:rPr>
        <w:t>article</w:t>
      </w:r>
      <w:proofErr w:type="spellEnd"/>
      <w:r w:rsidR="00F55791" w:rsidRPr="00A22460">
        <w:rPr>
          <w:rFonts w:ascii="Times New Roman" w:hAnsi="Times New Roman"/>
          <w:sz w:val="24"/>
          <w:szCs w:val="24"/>
        </w:rPr>
        <w:t xml:space="preserve"> </w:t>
      </w:r>
      <w:r w:rsidR="0097246B" w:rsidRPr="00A22460">
        <w:rPr>
          <w:rFonts w:ascii="Times New Roman" w:hAnsi="Times New Roman"/>
          <w:sz w:val="24"/>
          <w:szCs w:val="24"/>
        </w:rPr>
        <w:t>553223</w:t>
      </w:r>
      <w:r w:rsidR="00F55791" w:rsidRPr="00A22460">
        <w:rPr>
          <w:rFonts w:ascii="Times New Roman" w:hAnsi="Times New Roman"/>
          <w:sz w:val="24"/>
          <w:szCs w:val="24"/>
        </w:rPr>
        <w:t xml:space="preserve">, p. </w:t>
      </w:r>
      <w:r w:rsidR="0097246B" w:rsidRPr="00A22460">
        <w:rPr>
          <w:rFonts w:ascii="Times New Roman" w:hAnsi="Times New Roman"/>
          <w:sz w:val="24"/>
          <w:szCs w:val="24"/>
        </w:rPr>
        <w:t>1</w:t>
      </w:r>
      <w:r w:rsidR="00F55791" w:rsidRPr="00A22460">
        <w:rPr>
          <w:rFonts w:ascii="Times New Roman" w:hAnsi="Times New Roman"/>
          <w:sz w:val="24"/>
          <w:szCs w:val="24"/>
        </w:rPr>
        <w:t>-</w:t>
      </w:r>
      <w:r w:rsidR="0097246B" w:rsidRPr="00A22460">
        <w:rPr>
          <w:rFonts w:ascii="Times New Roman" w:hAnsi="Times New Roman"/>
          <w:sz w:val="24"/>
          <w:szCs w:val="24"/>
        </w:rPr>
        <w:t>16</w:t>
      </w:r>
      <w:r w:rsidR="00F55791" w:rsidRPr="00A22460">
        <w:rPr>
          <w:rFonts w:ascii="Times New Roman" w:hAnsi="Times New Roman"/>
          <w:sz w:val="24"/>
          <w:szCs w:val="24"/>
        </w:rPr>
        <w:t>,</w:t>
      </w:r>
      <w:r w:rsidR="00D53129" w:rsidRPr="00A22460">
        <w:rPr>
          <w:rFonts w:ascii="Times New Roman" w:hAnsi="Times New Roman"/>
          <w:sz w:val="24"/>
          <w:szCs w:val="24"/>
        </w:rPr>
        <w:t xml:space="preserve"> </w:t>
      </w:r>
      <w:r w:rsidRPr="00A22460">
        <w:rPr>
          <w:rFonts w:ascii="Times New Roman" w:hAnsi="Times New Roman"/>
          <w:sz w:val="24"/>
          <w:szCs w:val="24"/>
        </w:rPr>
        <w:t>2021. Disponível em:</w:t>
      </w:r>
      <w:r w:rsidR="0097246B" w:rsidRPr="00A22460">
        <w:rPr>
          <w:rFonts w:ascii="Times New Roman" w:hAnsi="Times New Roman"/>
          <w:sz w:val="24"/>
          <w:szCs w:val="24"/>
        </w:rPr>
        <w:t xml:space="preserve"> https://www.frontiersin.org/journals/microbiology/articles/10.3389/fmicb.2020.553223/full</w:t>
      </w:r>
      <w:r w:rsidRPr="00A22460">
        <w:rPr>
          <w:rFonts w:ascii="Times New Roman" w:hAnsi="Times New Roman"/>
          <w:sz w:val="24"/>
          <w:szCs w:val="24"/>
        </w:rPr>
        <w:t>. Acesso em: 29 out. 2024.</w:t>
      </w:r>
    </w:p>
    <w:p w14:paraId="3F2847A2" w14:textId="77777777" w:rsidR="00A54333" w:rsidRPr="00A22460" w:rsidRDefault="00A54333" w:rsidP="00AA5D66">
      <w:pPr>
        <w:spacing w:after="0"/>
        <w:rPr>
          <w:rFonts w:ascii="Times New Roman" w:hAnsi="Times New Roman"/>
          <w:sz w:val="24"/>
          <w:szCs w:val="24"/>
        </w:rPr>
      </w:pPr>
    </w:p>
    <w:p w14:paraId="28DA554B" w14:textId="582204EC" w:rsidR="0082005F" w:rsidRPr="00A22460" w:rsidRDefault="0082005F" w:rsidP="00AA5D66">
      <w:pPr>
        <w:spacing w:after="0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 xml:space="preserve">BURATTO, J. S. </w:t>
      </w:r>
      <w:r w:rsidRPr="00A22460">
        <w:rPr>
          <w:rFonts w:ascii="Times New Roman" w:hAnsi="Times New Roman"/>
          <w:b/>
          <w:sz w:val="24"/>
          <w:szCs w:val="24"/>
        </w:rPr>
        <w:t>Teores de minerais e proteínas em grãos de feijão e estimativas de parâmetros genéticos</w:t>
      </w:r>
      <w:r w:rsidRPr="00A22460">
        <w:rPr>
          <w:rFonts w:ascii="Times New Roman" w:hAnsi="Times New Roman"/>
          <w:bCs/>
          <w:sz w:val="24"/>
          <w:szCs w:val="24"/>
        </w:rPr>
        <w:t>.</w:t>
      </w:r>
      <w:r w:rsidRPr="00A22460">
        <w:rPr>
          <w:rFonts w:ascii="Times New Roman" w:hAnsi="Times New Roman"/>
          <w:sz w:val="24"/>
          <w:szCs w:val="24"/>
        </w:rPr>
        <w:t xml:space="preserve"> Tese (Doutorado em Genética e Melhoramento de Plantas) – Universidade Federal de Lavras, Lavras</w:t>
      </w:r>
      <w:r w:rsidR="006A681A" w:rsidRPr="00A22460">
        <w:rPr>
          <w:rFonts w:ascii="Times New Roman" w:hAnsi="Times New Roman"/>
          <w:sz w:val="24"/>
          <w:szCs w:val="24"/>
        </w:rPr>
        <w:t>,</w:t>
      </w:r>
      <w:r w:rsidRPr="00A22460">
        <w:rPr>
          <w:rFonts w:ascii="Times New Roman" w:hAnsi="Times New Roman"/>
          <w:sz w:val="24"/>
          <w:szCs w:val="24"/>
        </w:rPr>
        <w:t xml:space="preserve"> 2012.</w:t>
      </w:r>
      <w:r w:rsidR="006A681A" w:rsidRPr="00A22460">
        <w:rPr>
          <w:rFonts w:ascii="Times New Roman" w:hAnsi="Times New Roman"/>
          <w:sz w:val="24"/>
          <w:szCs w:val="24"/>
        </w:rPr>
        <w:t xml:space="preserve"> </w:t>
      </w:r>
    </w:p>
    <w:p w14:paraId="50A91B7F" w14:textId="77777777" w:rsidR="00A54333" w:rsidRPr="00A22460" w:rsidRDefault="00A54333" w:rsidP="00AA5D66">
      <w:pPr>
        <w:spacing w:after="0"/>
        <w:rPr>
          <w:rFonts w:ascii="Times New Roman" w:hAnsi="Times New Roman"/>
          <w:sz w:val="24"/>
          <w:szCs w:val="24"/>
        </w:rPr>
      </w:pPr>
    </w:p>
    <w:p w14:paraId="5B06E042" w14:textId="5C9BCA75" w:rsidR="0082005F" w:rsidRPr="00A22460" w:rsidRDefault="0082005F" w:rsidP="00AA5D66">
      <w:pPr>
        <w:spacing w:after="0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>CARVALHO, T. C.; SILVA, S. S.</w:t>
      </w:r>
      <w:r w:rsidR="00F55791" w:rsidRPr="00A224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5791" w:rsidRPr="00A22460">
        <w:rPr>
          <w:rFonts w:ascii="Times New Roman" w:hAnsi="Times New Roman"/>
          <w:sz w:val="24"/>
          <w:szCs w:val="24"/>
        </w:rPr>
        <w:t>da</w:t>
      </w:r>
      <w:proofErr w:type="spellEnd"/>
      <w:r w:rsidRPr="00A22460">
        <w:rPr>
          <w:rFonts w:ascii="Times New Roman" w:hAnsi="Times New Roman"/>
          <w:sz w:val="24"/>
          <w:szCs w:val="24"/>
        </w:rPr>
        <w:t>; SILVA, R. C.</w:t>
      </w:r>
      <w:r w:rsidR="00F55791" w:rsidRPr="00A22460">
        <w:rPr>
          <w:rFonts w:ascii="Times New Roman" w:hAnsi="Times New Roman"/>
          <w:sz w:val="24"/>
          <w:szCs w:val="24"/>
        </w:rPr>
        <w:t xml:space="preserve"> da</w:t>
      </w:r>
      <w:r w:rsidRPr="00A22460">
        <w:rPr>
          <w:rFonts w:ascii="Times New Roman" w:hAnsi="Times New Roman"/>
          <w:sz w:val="24"/>
          <w:szCs w:val="24"/>
        </w:rPr>
        <w:t xml:space="preserve">; PANOBIANCO, M.; MÓGOR, Á. F. Influência de bioestimulantes na germinação e desenvolvimento de plântulas de </w:t>
      </w:r>
      <w:proofErr w:type="spellStart"/>
      <w:r w:rsidRPr="00A22460">
        <w:rPr>
          <w:rFonts w:ascii="Times New Roman" w:hAnsi="Times New Roman"/>
          <w:i/>
          <w:iCs/>
          <w:sz w:val="24"/>
          <w:szCs w:val="24"/>
        </w:rPr>
        <w:t>Phaseolus</w:t>
      </w:r>
      <w:proofErr w:type="spellEnd"/>
      <w:r w:rsidRPr="00A2246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22460">
        <w:rPr>
          <w:rFonts w:ascii="Times New Roman" w:hAnsi="Times New Roman"/>
          <w:i/>
          <w:iCs/>
          <w:sz w:val="24"/>
          <w:szCs w:val="24"/>
        </w:rPr>
        <w:t>vulgaris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 sob restrição hídrica. </w:t>
      </w:r>
      <w:r w:rsidRPr="00A22460">
        <w:rPr>
          <w:rFonts w:ascii="Times New Roman" w:hAnsi="Times New Roman"/>
          <w:b/>
          <w:sz w:val="24"/>
          <w:szCs w:val="24"/>
        </w:rPr>
        <w:t>Revista de ciências agrárias</w:t>
      </w:r>
      <w:r w:rsidRPr="00A22460">
        <w:rPr>
          <w:rFonts w:ascii="Times New Roman" w:hAnsi="Times New Roman"/>
          <w:sz w:val="24"/>
          <w:szCs w:val="24"/>
        </w:rPr>
        <w:t>,</w:t>
      </w:r>
      <w:r w:rsidR="009F604D" w:rsidRPr="00A22460">
        <w:rPr>
          <w:rFonts w:ascii="Times New Roman" w:hAnsi="Times New Roman"/>
          <w:sz w:val="24"/>
          <w:szCs w:val="24"/>
        </w:rPr>
        <w:t xml:space="preserve"> Belém,</w:t>
      </w:r>
      <w:r w:rsidRPr="00A22460">
        <w:rPr>
          <w:rFonts w:ascii="Times New Roman" w:hAnsi="Times New Roman"/>
          <w:i/>
          <w:sz w:val="24"/>
          <w:szCs w:val="24"/>
        </w:rPr>
        <w:t xml:space="preserve"> </w:t>
      </w:r>
      <w:r w:rsidRPr="00A22460">
        <w:rPr>
          <w:rFonts w:ascii="Times New Roman" w:hAnsi="Times New Roman"/>
          <w:sz w:val="24"/>
          <w:szCs w:val="24"/>
        </w:rPr>
        <w:t>v. 36, n. 2, p. 199-205, 2013.</w:t>
      </w:r>
    </w:p>
    <w:p w14:paraId="3A93E7FA" w14:textId="77777777" w:rsidR="00702916" w:rsidRPr="00A22460" w:rsidRDefault="00702916" w:rsidP="00AA5D66">
      <w:pPr>
        <w:spacing w:after="0"/>
        <w:rPr>
          <w:rFonts w:ascii="Times New Roman" w:hAnsi="Times New Roman"/>
          <w:sz w:val="24"/>
          <w:szCs w:val="24"/>
        </w:rPr>
      </w:pPr>
    </w:p>
    <w:p w14:paraId="176C3A83" w14:textId="12528A2D" w:rsidR="00702916" w:rsidRPr="00A22460" w:rsidRDefault="00702916" w:rsidP="00AA5D66">
      <w:pPr>
        <w:spacing w:after="0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 xml:space="preserve">CASTRO, I. P. de; SILVA, W. F. </w:t>
      </w:r>
      <w:proofErr w:type="spellStart"/>
      <w:proofErr w:type="gramStart"/>
      <w:r w:rsidRPr="00A22460">
        <w:rPr>
          <w:rFonts w:ascii="Times New Roman" w:hAnsi="Times New Roman"/>
          <w:sz w:val="24"/>
          <w:szCs w:val="24"/>
        </w:rPr>
        <w:t>da.Tolerância</w:t>
      </w:r>
      <w:proofErr w:type="spellEnd"/>
      <w:proofErr w:type="gramEnd"/>
      <w:r w:rsidRPr="00A22460">
        <w:rPr>
          <w:rFonts w:ascii="Times New Roman" w:hAnsi="Times New Roman"/>
          <w:sz w:val="24"/>
          <w:szCs w:val="24"/>
        </w:rPr>
        <w:t xml:space="preserve"> ao déficit hídrico na germinação de sementes de soja tratadas com </w:t>
      </w:r>
      <w:r w:rsidRPr="00A22460">
        <w:rPr>
          <w:rFonts w:ascii="Times New Roman" w:hAnsi="Times New Roman"/>
          <w:i/>
          <w:sz w:val="24"/>
          <w:szCs w:val="24"/>
        </w:rPr>
        <w:t xml:space="preserve">Bacillus </w:t>
      </w:r>
      <w:proofErr w:type="spellStart"/>
      <w:r w:rsidRPr="00A22460">
        <w:rPr>
          <w:rFonts w:ascii="Times New Roman" w:hAnsi="Times New Roman"/>
          <w:i/>
          <w:sz w:val="24"/>
          <w:szCs w:val="24"/>
        </w:rPr>
        <w:t>aryabhattai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. </w:t>
      </w:r>
      <w:r w:rsidRPr="00A22460">
        <w:rPr>
          <w:rFonts w:ascii="Times New Roman" w:hAnsi="Times New Roman"/>
          <w:b/>
          <w:sz w:val="24"/>
          <w:szCs w:val="24"/>
        </w:rPr>
        <w:t>Cerrado Agrociências</w:t>
      </w:r>
      <w:r w:rsidRPr="00A22460">
        <w:rPr>
          <w:rFonts w:ascii="Times New Roman" w:hAnsi="Times New Roman"/>
          <w:sz w:val="24"/>
          <w:szCs w:val="24"/>
        </w:rPr>
        <w:t>, Goiânia, v. 14, p. 46-55, 2023.</w:t>
      </w:r>
    </w:p>
    <w:p w14:paraId="5184C1E4" w14:textId="77777777" w:rsidR="00A54333" w:rsidRPr="00A22460" w:rsidRDefault="00A54333" w:rsidP="00AA5D66">
      <w:pPr>
        <w:spacing w:after="0"/>
        <w:rPr>
          <w:rFonts w:ascii="Times New Roman" w:hAnsi="Times New Roman"/>
          <w:sz w:val="24"/>
          <w:szCs w:val="24"/>
        </w:rPr>
      </w:pPr>
    </w:p>
    <w:p w14:paraId="17AEB1D6" w14:textId="24569A74" w:rsidR="0082005F" w:rsidRPr="00A22460" w:rsidRDefault="0082005F" w:rsidP="00AA5D66">
      <w:pPr>
        <w:spacing w:after="0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 xml:space="preserve">CAVALCANTE, W. S. </w:t>
      </w:r>
      <w:proofErr w:type="spellStart"/>
      <w:r w:rsidR="00F55791" w:rsidRPr="00A22460">
        <w:rPr>
          <w:rFonts w:ascii="Times New Roman" w:hAnsi="Times New Roman"/>
          <w:sz w:val="24"/>
          <w:szCs w:val="24"/>
        </w:rPr>
        <w:t>da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 S</w:t>
      </w:r>
      <w:r w:rsidR="00F55791" w:rsidRPr="00A22460">
        <w:rPr>
          <w:rFonts w:ascii="Times New Roman" w:hAnsi="Times New Roman"/>
          <w:sz w:val="24"/>
          <w:szCs w:val="24"/>
        </w:rPr>
        <w:t>.</w:t>
      </w:r>
      <w:r w:rsidRPr="00A22460">
        <w:rPr>
          <w:rFonts w:ascii="Times New Roman" w:hAnsi="Times New Roman"/>
          <w:sz w:val="24"/>
          <w:szCs w:val="24"/>
        </w:rPr>
        <w:t>; SILVA, N. F.</w:t>
      </w:r>
      <w:r w:rsidR="00F55791" w:rsidRPr="00A224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5791" w:rsidRPr="00A22460">
        <w:rPr>
          <w:rFonts w:ascii="Times New Roman" w:hAnsi="Times New Roman"/>
          <w:sz w:val="24"/>
          <w:szCs w:val="24"/>
        </w:rPr>
        <w:t>da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; TEIXEIRA, M. B.; CABRAL FILHO, F. R.; NASCIMENTO, P. E. R.; CORRÊA, F. R. Eficiência dos </w:t>
      </w:r>
      <w:r w:rsidRPr="00A22460">
        <w:rPr>
          <w:rFonts w:ascii="Times New Roman" w:hAnsi="Times New Roman"/>
          <w:sz w:val="24"/>
          <w:szCs w:val="24"/>
        </w:rPr>
        <w:lastRenderedPageBreak/>
        <w:t xml:space="preserve">bioestimulantes no manejo do déficit hídrico na cultura da soja. </w:t>
      </w:r>
      <w:r w:rsidRPr="00A22460">
        <w:rPr>
          <w:rFonts w:ascii="Times New Roman" w:hAnsi="Times New Roman"/>
          <w:b/>
          <w:sz w:val="24"/>
          <w:szCs w:val="24"/>
        </w:rPr>
        <w:t>I</w:t>
      </w:r>
      <w:r w:rsidR="00F55791" w:rsidRPr="00A22460">
        <w:rPr>
          <w:rFonts w:ascii="Times New Roman" w:hAnsi="Times New Roman"/>
          <w:b/>
          <w:sz w:val="24"/>
          <w:szCs w:val="24"/>
        </w:rPr>
        <w:t>rriga</w:t>
      </w:r>
      <w:r w:rsidRPr="00A22460">
        <w:rPr>
          <w:rFonts w:ascii="Times New Roman" w:hAnsi="Times New Roman"/>
          <w:sz w:val="24"/>
          <w:szCs w:val="24"/>
        </w:rPr>
        <w:t xml:space="preserve">, </w:t>
      </w:r>
      <w:r w:rsidR="009F604D" w:rsidRPr="00A22460">
        <w:rPr>
          <w:rFonts w:ascii="Times New Roman" w:hAnsi="Times New Roman"/>
          <w:sz w:val="24"/>
          <w:szCs w:val="24"/>
        </w:rPr>
        <w:t xml:space="preserve">Botucatu, </w:t>
      </w:r>
      <w:r w:rsidRPr="00A22460">
        <w:rPr>
          <w:rFonts w:ascii="Times New Roman" w:hAnsi="Times New Roman"/>
          <w:sz w:val="24"/>
          <w:szCs w:val="24"/>
        </w:rPr>
        <w:t>v. 25, n. 4, p. 754-763, 2020.</w:t>
      </w:r>
    </w:p>
    <w:p w14:paraId="08CFA6A3" w14:textId="77777777" w:rsidR="00A54333" w:rsidRPr="00A22460" w:rsidRDefault="00A54333" w:rsidP="00AA5D66">
      <w:pPr>
        <w:spacing w:after="0"/>
        <w:rPr>
          <w:rFonts w:ascii="Times New Roman" w:hAnsi="Times New Roman"/>
          <w:sz w:val="24"/>
          <w:szCs w:val="24"/>
        </w:rPr>
      </w:pPr>
    </w:p>
    <w:p w14:paraId="23E90D80" w14:textId="1CC4819A" w:rsidR="0082005F" w:rsidRPr="00A22460" w:rsidRDefault="0082005F" w:rsidP="00AA5D66">
      <w:pPr>
        <w:spacing w:after="0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 xml:space="preserve">CHAGAS, L. F. B.; CHAGAS JÚNIOR, A. F.; SOARES, L. P.; FIDELIS, R. R. </w:t>
      </w:r>
      <w:proofErr w:type="spellStart"/>
      <w:r w:rsidRPr="00A22460">
        <w:rPr>
          <w:rFonts w:ascii="Times New Roman" w:hAnsi="Times New Roman"/>
          <w:i/>
          <w:iCs/>
          <w:sz w:val="24"/>
          <w:szCs w:val="24"/>
        </w:rPr>
        <w:t>Trichoderma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 na promoção do crescimento vegetal. </w:t>
      </w:r>
      <w:r w:rsidRPr="00A22460">
        <w:rPr>
          <w:rFonts w:ascii="Times New Roman" w:hAnsi="Times New Roman"/>
          <w:b/>
          <w:sz w:val="24"/>
          <w:szCs w:val="24"/>
        </w:rPr>
        <w:t>Revista de Agricultura Neotropical</w:t>
      </w:r>
      <w:r w:rsidRPr="00A22460">
        <w:rPr>
          <w:rFonts w:ascii="Times New Roman" w:hAnsi="Times New Roman"/>
          <w:sz w:val="24"/>
          <w:szCs w:val="24"/>
        </w:rPr>
        <w:t>,</w:t>
      </w:r>
      <w:r w:rsidR="009F604D" w:rsidRPr="00A22460">
        <w:rPr>
          <w:rFonts w:ascii="Times New Roman" w:hAnsi="Times New Roman"/>
          <w:sz w:val="24"/>
          <w:szCs w:val="24"/>
        </w:rPr>
        <w:t xml:space="preserve"> Cassilândia,</w:t>
      </w:r>
      <w:r w:rsidRPr="00A22460">
        <w:rPr>
          <w:rFonts w:ascii="Times New Roman" w:hAnsi="Times New Roman"/>
          <w:sz w:val="24"/>
          <w:szCs w:val="24"/>
        </w:rPr>
        <w:t xml:space="preserve"> v.</w:t>
      </w:r>
      <w:r w:rsidR="0097246B" w:rsidRPr="00A22460">
        <w:rPr>
          <w:rFonts w:ascii="Times New Roman" w:hAnsi="Times New Roman"/>
          <w:sz w:val="24"/>
          <w:szCs w:val="24"/>
        </w:rPr>
        <w:t xml:space="preserve"> 4</w:t>
      </w:r>
      <w:r w:rsidR="00F55791" w:rsidRPr="00A22460">
        <w:rPr>
          <w:rFonts w:ascii="Times New Roman" w:hAnsi="Times New Roman"/>
          <w:sz w:val="24"/>
          <w:szCs w:val="24"/>
        </w:rPr>
        <w:t xml:space="preserve">, n. </w:t>
      </w:r>
      <w:r w:rsidR="0097246B" w:rsidRPr="00A22460">
        <w:rPr>
          <w:rFonts w:ascii="Times New Roman" w:hAnsi="Times New Roman"/>
          <w:sz w:val="24"/>
          <w:szCs w:val="24"/>
        </w:rPr>
        <w:t>3</w:t>
      </w:r>
      <w:r w:rsidR="00F55791" w:rsidRPr="00A22460">
        <w:rPr>
          <w:rFonts w:ascii="Times New Roman" w:hAnsi="Times New Roman"/>
          <w:sz w:val="24"/>
          <w:szCs w:val="24"/>
        </w:rPr>
        <w:t xml:space="preserve">, </w:t>
      </w:r>
      <w:r w:rsidRPr="00A22460">
        <w:rPr>
          <w:rFonts w:ascii="Times New Roman" w:hAnsi="Times New Roman"/>
          <w:sz w:val="24"/>
          <w:szCs w:val="24"/>
        </w:rPr>
        <w:t>p. 97</w:t>
      </w:r>
      <w:r w:rsidR="00F55791" w:rsidRPr="00A22460">
        <w:rPr>
          <w:rFonts w:ascii="Times New Roman" w:hAnsi="Times New Roman"/>
          <w:sz w:val="24"/>
          <w:szCs w:val="24"/>
        </w:rPr>
        <w:t>-</w:t>
      </w:r>
      <w:r w:rsidRPr="00A22460">
        <w:rPr>
          <w:rFonts w:ascii="Times New Roman" w:hAnsi="Times New Roman"/>
          <w:sz w:val="24"/>
          <w:szCs w:val="24"/>
        </w:rPr>
        <w:t>102, 2017.</w:t>
      </w:r>
    </w:p>
    <w:p w14:paraId="03D8BFFA" w14:textId="77777777" w:rsidR="006A681A" w:rsidRPr="00A22460" w:rsidRDefault="006A681A" w:rsidP="00AA5D66">
      <w:pPr>
        <w:spacing w:after="0"/>
        <w:rPr>
          <w:rFonts w:ascii="Times New Roman" w:hAnsi="Times New Roman"/>
          <w:sz w:val="24"/>
          <w:szCs w:val="24"/>
        </w:rPr>
      </w:pPr>
    </w:p>
    <w:p w14:paraId="28E252F4" w14:textId="42D08B24" w:rsidR="0082005F" w:rsidRPr="00A22460" w:rsidRDefault="006A0099" w:rsidP="00AA5D66">
      <w:pPr>
        <w:spacing w:after="0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>FEIJÃO.</w:t>
      </w:r>
      <w:r w:rsidR="0082005F" w:rsidRPr="00A22460">
        <w:rPr>
          <w:rFonts w:ascii="Times New Roman" w:hAnsi="Times New Roman"/>
          <w:sz w:val="24"/>
          <w:szCs w:val="24"/>
        </w:rPr>
        <w:t xml:space="preserve"> </w:t>
      </w:r>
      <w:r w:rsidR="0082005F" w:rsidRPr="00A22460">
        <w:rPr>
          <w:rFonts w:ascii="Times New Roman" w:hAnsi="Times New Roman"/>
          <w:b/>
          <w:sz w:val="24"/>
          <w:szCs w:val="24"/>
        </w:rPr>
        <w:t xml:space="preserve">Acompanhamento da </w:t>
      </w:r>
      <w:r w:rsidR="00CB4BED" w:rsidRPr="00A22460">
        <w:rPr>
          <w:rFonts w:ascii="Times New Roman" w:hAnsi="Times New Roman"/>
          <w:b/>
          <w:sz w:val="24"/>
          <w:szCs w:val="24"/>
        </w:rPr>
        <w:t>S</w:t>
      </w:r>
      <w:r w:rsidR="0082005F" w:rsidRPr="00A22460">
        <w:rPr>
          <w:rFonts w:ascii="Times New Roman" w:hAnsi="Times New Roman"/>
          <w:b/>
          <w:sz w:val="24"/>
          <w:szCs w:val="24"/>
        </w:rPr>
        <w:t xml:space="preserve">afra </w:t>
      </w:r>
      <w:r w:rsidR="00CB4BED" w:rsidRPr="00A22460">
        <w:rPr>
          <w:rFonts w:ascii="Times New Roman" w:hAnsi="Times New Roman"/>
          <w:b/>
          <w:sz w:val="24"/>
          <w:szCs w:val="24"/>
        </w:rPr>
        <w:t>B</w:t>
      </w:r>
      <w:r w:rsidR="0082005F" w:rsidRPr="00A22460">
        <w:rPr>
          <w:rFonts w:ascii="Times New Roman" w:hAnsi="Times New Roman"/>
          <w:b/>
          <w:sz w:val="24"/>
          <w:szCs w:val="24"/>
        </w:rPr>
        <w:t>rasileira</w:t>
      </w:r>
      <w:r w:rsidR="00CB4BED" w:rsidRPr="00A22460">
        <w:rPr>
          <w:rFonts w:ascii="Times New Roman" w:hAnsi="Times New Roman"/>
          <w:bCs/>
          <w:sz w:val="24"/>
          <w:szCs w:val="24"/>
        </w:rPr>
        <w:t>: g</w:t>
      </w:r>
      <w:r w:rsidR="0082005F" w:rsidRPr="00A22460">
        <w:rPr>
          <w:rFonts w:ascii="Times New Roman" w:hAnsi="Times New Roman"/>
          <w:bCs/>
          <w:sz w:val="24"/>
          <w:szCs w:val="24"/>
        </w:rPr>
        <w:t>rãos,</w:t>
      </w:r>
      <w:r w:rsidR="0082005F" w:rsidRPr="00A22460">
        <w:rPr>
          <w:rFonts w:ascii="Times New Roman" w:hAnsi="Times New Roman"/>
          <w:b/>
          <w:sz w:val="24"/>
          <w:szCs w:val="24"/>
        </w:rPr>
        <w:t xml:space="preserve"> </w:t>
      </w:r>
      <w:r w:rsidR="00CB4BED" w:rsidRPr="00A22460">
        <w:rPr>
          <w:rFonts w:ascii="Times New Roman" w:hAnsi="Times New Roman"/>
          <w:bCs/>
          <w:sz w:val="24"/>
          <w:szCs w:val="24"/>
        </w:rPr>
        <w:t>Brasília, DF, v</w:t>
      </w:r>
      <w:r w:rsidR="00CB4BED" w:rsidRPr="00A22460">
        <w:rPr>
          <w:rFonts w:ascii="Times New Roman" w:hAnsi="Times New Roman"/>
          <w:sz w:val="24"/>
          <w:szCs w:val="24"/>
        </w:rPr>
        <w:t xml:space="preserve">. 8, n. 12, p. </w:t>
      </w:r>
      <w:r w:rsidR="0092627B" w:rsidRPr="00A22460">
        <w:rPr>
          <w:rFonts w:ascii="Times New Roman" w:hAnsi="Times New Roman"/>
          <w:sz w:val="24"/>
          <w:szCs w:val="24"/>
        </w:rPr>
        <w:t>1</w:t>
      </w:r>
      <w:r w:rsidR="00CB4BED" w:rsidRPr="00A22460">
        <w:rPr>
          <w:rFonts w:ascii="Times New Roman" w:hAnsi="Times New Roman"/>
          <w:sz w:val="24"/>
          <w:szCs w:val="24"/>
        </w:rPr>
        <w:t>-</w:t>
      </w:r>
      <w:r w:rsidR="0092627B" w:rsidRPr="00A22460">
        <w:rPr>
          <w:rFonts w:ascii="Times New Roman" w:hAnsi="Times New Roman"/>
          <w:sz w:val="24"/>
          <w:szCs w:val="24"/>
        </w:rPr>
        <w:t>120</w:t>
      </w:r>
      <w:r w:rsidR="00CB4BED" w:rsidRPr="00A22460">
        <w:rPr>
          <w:rFonts w:ascii="Times New Roman" w:hAnsi="Times New Roman"/>
          <w:sz w:val="24"/>
          <w:szCs w:val="24"/>
        </w:rPr>
        <w:t>, 2024. Safra 2023/24</w:t>
      </w:r>
      <w:r w:rsidR="0082005F" w:rsidRPr="00A22460">
        <w:rPr>
          <w:rFonts w:ascii="Times New Roman" w:hAnsi="Times New Roman"/>
          <w:sz w:val="24"/>
          <w:szCs w:val="24"/>
        </w:rPr>
        <w:t>.</w:t>
      </w:r>
      <w:r w:rsidR="00CB4BED" w:rsidRPr="00A22460">
        <w:rPr>
          <w:rFonts w:ascii="Times New Roman" w:hAnsi="Times New Roman"/>
          <w:sz w:val="24"/>
          <w:szCs w:val="24"/>
        </w:rPr>
        <w:t xml:space="preserve"> </w:t>
      </w:r>
      <w:r w:rsidR="00FC3CAC">
        <w:rPr>
          <w:rFonts w:ascii="Times New Roman" w:hAnsi="Times New Roman"/>
          <w:sz w:val="24"/>
          <w:szCs w:val="24"/>
        </w:rPr>
        <w:t xml:space="preserve"> Décimo segundo levantamento. </w:t>
      </w:r>
      <w:r w:rsidR="00CB4BED" w:rsidRPr="00A22460">
        <w:rPr>
          <w:rFonts w:ascii="Times New Roman" w:hAnsi="Times New Roman"/>
          <w:sz w:val="24"/>
          <w:szCs w:val="24"/>
        </w:rPr>
        <w:t xml:space="preserve">Disponível em: </w:t>
      </w:r>
      <w:r w:rsidR="0092627B" w:rsidRPr="00A22460">
        <w:rPr>
          <w:rFonts w:ascii="Times New Roman" w:hAnsi="Times New Roman"/>
          <w:sz w:val="24"/>
          <w:szCs w:val="24"/>
        </w:rPr>
        <w:t>https://www.gov.br/conab/pt-br/atuacao/informacoes-agropecuarias/safras/ultimos-boletins-de-safra/e-book_boletimzdezsafrasz-z7zlevantamento.pdf</w:t>
      </w:r>
      <w:r w:rsidR="00CB4BED" w:rsidRPr="00A22460">
        <w:rPr>
          <w:rFonts w:ascii="Times New Roman" w:hAnsi="Times New Roman"/>
          <w:sz w:val="24"/>
          <w:szCs w:val="24"/>
        </w:rPr>
        <w:t xml:space="preserve">. Acesso em: </w:t>
      </w:r>
      <w:r w:rsidR="0092627B" w:rsidRPr="00A22460">
        <w:rPr>
          <w:rFonts w:ascii="Times New Roman" w:hAnsi="Times New Roman"/>
          <w:sz w:val="24"/>
          <w:szCs w:val="24"/>
        </w:rPr>
        <w:t>07</w:t>
      </w:r>
      <w:r w:rsidR="00CB4BED" w:rsidRPr="00A22460">
        <w:rPr>
          <w:rFonts w:ascii="Times New Roman" w:hAnsi="Times New Roman"/>
          <w:sz w:val="24"/>
          <w:szCs w:val="24"/>
        </w:rPr>
        <w:t xml:space="preserve"> </w:t>
      </w:r>
      <w:r w:rsidR="0092627B" w:rsidRPr="00A22460">
        <w:rPr>
          <w:rFonts w:ascii="Times New Roman" w:hAnsi="Times New Roman"/>
          <w:sz w:val="24"/>
          <w:szCs w:val="24"/>
        </w:rPr>
        <w:t>jul</w:t>
      </w:r>
      <w:r w:rsidR="00FC3CAC">
        <w:rPr>
          <w:rFonts w:ascii="Times New Roman" w:hAnsi="Times New Roman"/>
          <w:sz w:val="24"/>
          <w:szCs w:val="24"/>
        </w:rPr>
        <w:t>.</w:t>
      </w:r>
      <w:r w:rsidR="00CB4BED" w:rsidRPr="00A22460">
        <w:rPr>
          <w:rFonts w:ascii="Times New Roman" w:hAnsi="Times New Roman"/>
          <w:sz w:val="24"/>
          <w:szCs w:val="24"/>
        </w:rPr>
        <w:t xml:space="preserve"> </w:t>
      </w:r>
      <w:r w:rsidR="0092627B" w:rsidRPr="00A22460">
        <w:rPr>
          <w:rFonts w:ascii="Times New Roman" w:hAnsi="Times New Roman"/>
          <w:sz w:val="24"/>
          <w:szCs w:val="24"/>
        </w:rPr>
        <w:t>2024</w:t>
      </w:r>
      <w:r w:rsidR="00CB4BED" w:rsidRPr="00A22460">
        <w:rPr>
          <w:rFonts w:ascii="Times New Roman" w:hAnsi="Times New Roman"/>
          <w:sz w:val="24"/>
          <w:szCs w:val="24"/>
        </w:rPr>
        <w:t>.</w:t>
      </w:r>
    </w:p>
    <w:p w14:paraId="6FF1AAA0" w14:textId="77777777" w:rsidR="00A54333" w:rsidRPr="00A22460" w:rsidRDefault="00A54333" w:rsidP="00AA5D66">
      <w:pPr>
        <w:spacing w:after="0"/>
        <w:rPr>
          <w:rFonts w:ascii="Times New Roman" w:hAnsi="Times New Roman"/>
          <w:sz w:val="24"/>
          <w:szCs w:val="24"/>
        </w:rPr>
      </w:pPr>
    </w:p>
    <w:p w14:paraId="0D95226D" w14:textId="6EC0CAB7" w:rsidR="0082005F" w:rsidRPr="00A22460" w:rsidRDefault="0082005F" w:rsidP="00AA5D66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22460">
        <w:rPr>
          <w:rFonts w:ascii="Times New Roman" w:hAnsi="Times New Roman"/>
          <w:sz w:val="24"/>
          <w:szCs w:val="24"/>
          <w:lang w:val="en-US"/>
        </w:rPr>
        <w:t xml:space="preserve">DAS, A.; ALBINSSON, P. A. Consumption Culture and Critical Sustainability Discourses: Voices from the Global South. </w:t>
      </w:r>
      <w:r w:rsidRPr="00A22460">
        <w:rPr>
          <w:rFonts w:ascii="Times New Roman" w:hAnsi="Times New Roman"/>
          <w:b/>
          <w:sz w:val="24"/>
          <w:szCs w:val="24"/>
          <w:lang w:val="en-US"/>
        </w:rPr>
        <w:t>Sustainability</w:t>
      </w:r>
      <w:r w:rsidRPr="00A22460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9F604D" w:rsidRPr="00A22460">
        <w:rPr>
          <w:rFonts w:ascii="Times New Roman" w:hAnsi="Times New Roman"/>
          <w:sz w:val="24"/>
          <w:szCs w:val="24"/>
          <w:lang w:val="en-US"/>
        </w:rPr>
        <w:t xml:space="preserve">Basel, </w:t>
      </w:r>
      <w:r w:rsidRPr="00A22460">
        <w:rPr>
          <w:rFonts w:ascii="Times New Roman" w:hAnsi="Times New Roman"/>
          <w:sz w:val="24"/>
          <w:szCs w:val="24"/>
          <w:lang w:val="en-US"/>
        </w:rPr>
        <w:t>v. 15, n.</w:t>
      </w:r>
      <w:r w:rsidR="00702916" w:rsidRPr="00A2246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2460">
        <w:rPr>
          <w:rFonts w:ascii="Times New Roman" w:hAnsi="Times New Roman"/>
          <w:sz w:val="24"/>
          <w:szCs w:val="24"/>
          <w:lang w:val="en-US"/>
        </w:rPr>
        <w:t>9, p.</w:t>
      </w:r>
      <w:r w:rsidR="00702916" w:rsidRPr="00A2246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2460">
        <w:rPr>
          <w:rFonts w:ascii="Times New Roman" w:hAnsi="Times New Roman"/>
          <w:sz w:val="24"/>
          <w:szCs w:val="24"/>
          <w:lang w:val="en-US"/>
        </w:rPr>
        <w:t>1-19, 2023.</w:t>
      </w:r>
    </w:p>
    <w:p w14:paraId="19DA6C5F" w14:textId="77777777" w:rsidR="00A54333" w:rsidRPr="00A22460" w:rsidRDefault="00A54333" w:rsidP="00AA5D66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6634E0CC" w14:textId="34BD4A31" w:rsidR="0082005F" w:rsidRPr="00A22460" w:rsidRDefault="0082005F" w:rsidP="00AA5D66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22460">
        <w:rPr>
          <w:rFonts w:ascii="Times New Roman" w:hAnsi="Times New Roman"/>
          <w:sz w:val="24"/>
          <w:szCs w:val="24"/>
          <w:lang w:val="en-US"/>
        </w:rPr>
        <w:t xml:space="preserve">DENG, C.; LIANG, X.; ZHANG, N.; LI, B.; WANG, X.; ZENG, N. Molecular mechanisms of plant growth promotion for methylotrophic Bacillus </w:t>
      </w:r>
      <w:proofErr w:type="spellStart"/>
      <w:r w:rsidRPr="00A22460">
        <w:rPr>
          <w:rFonts w:ascii="Times New Roman" w:hAnsi="Times New Roman"/>
          <w:sz w:val="24"/>
          <w:szCs w:val="24"/>
          <w:lang w:val="en-US"/>
        </w:rPr>
        <w:t>aryabhattai</w:t>
      </w:r>
      <w:proofErr w:type="spellEnd"/>
      <w:r w:rsidRPr="00A22460">
        <w:rPr>
          <w:rFonts w:ascii="Times New Roman" w:hAnsi="Times New Roman"/>
          <w:sz w:val="24"/>
          <w:szCs w:val="24"/>
          <w:lang w:val="en-US"/>
        </w:rPr>
        <w:t xml:space="preserve"> LAD. </w:t>
      </w:r>
      <w:r w:rsidRPr="00A22460">
        <w:rPr>
          <w:rFonts w:ascii="Times New Roman" w:hAnsi="Times New Roman"/>
          <w:b/>
          <w:bCs/>
          <w:sz w:val="24"/>
          <w:szCs w:val="24"/>
          <w:lang w:val="en-US"/>
        </w:rPr>
        <w:t>Frontiers in Microbiology</w:t>
      </w:r>
      <w:r w:rsidRPr="00A22460">
        <w:rPr>
          <w:rFonts w:ascii="Times New Roman" w:hAnsi="Times New Roman"/>
          <w:sz w:val="24"/>
          <w:szCs w:val="24"/>
          <w:lang w:val="en-US"/>
        </w:rPr>
        <w:t>,</w:t>
      </w:r>
      <w:r w:rsidR="009F604D" w:rsidRPr="00A22460">
        <w:rPr>
          <w:rFonts w:ascii="Times New Roman" w:hAnsi="Times New Roman"/>
          <w:sz w:val="24"/>
          <w:szCs w:val="24"/>
          <w:lang w:val="en-US"/>
        </w:rPr>
        <w:t xml:space="preserve"> Lausanne,</w:t>
      </w:r>
      <w:r w:rsidRPr="00A22460">
        <w:rPr>
          <w:rFonts w:ascii="Times New Roman" w:hAnsi="Times New Roman"/>
          <w:sz w:val="24"/>
          <w:szCs w:val="24"/>
          <w:lang w:val="en-US"/>
        </w:rPr>
        <w:t xml:space="preserve"> v. 13, </w:t>
      </w:r>
      <w:r w:rsidR="00702916" w:rsidRPr="00A22460">
        <w:rPr>
          <w:rFonts w:ascii="Times New Roman" w:hAnsi="Times New Roman"/>
          <w:sz w:val="24"/>
          <w:szCs w:val="24"/>
          <w:lang w:val="en-US"/>
        </w:rPr>
        <w:t>article</w:t>
      </w:r>
      <w:r w:rsidRPr="00A22460">
        <w:rPr>
          <w:rFonts w:ascii="Times New Roman" w:hAnsi="Times New Roman"/>
          <w:sz w:val="24"/>
          <w:szCs w:val="24"/>
          <w:lang w:val="en-US"/>
        </w:rPr>
        <w:t xml:space="preserve"> 917382, </w:t>
      </w:r>
      <w:r w:rsidR="00702916" w:rsidRPr="00A22460">
        <w:rPr>
          <w:rFonts w:ascii="Times New Roman" w:hAnsi="Times New Roman"/>
          <w:sz w:val="24"/>
          <w:szCs w:val="24"/>
          <w:lang w:val="en-US"/>
        </w:rPr>
        <w:t xml:space="preserve">p. </w:t>
      </w:r>
      <w:r w:rsidR="0097246B" w:rsidRPr="00A22460">
        <w:rPr>
          <w:rFonts w:ascii="Times New Roman" w:hAnsi="Times New Roman"/>
          <w:sz w:val="24"/>
          <w:szCs w:val="24"/>
          <w:lang w:val="en-US"/>
        </w:rPr>
        <w:t>1</w:t>
      </w:r>
      <w:r w:rsidR="00702916" w:rsidRPr="00A22460">
        <w:rPr>
          <w:rFonts w:ascii="Times New Roman" w:hAnsi="Times New Roman"/>
          <w:sz w:val="24"/>
          <w:szCs w:val="24"/>
          <w:lang w:val="en-US"/>
        </w:rPr>
        <w:t>-</w:t>
      </w:r>
      <w:r w:rsidR="0097246B" w:rsidRPr="00A22460">
        <w:rPr>
          <w:rFonts w:ascii="Times New Roman" w:hAnsi="Times New Roman"/>
          <w:sz w:val="24"/>
          <w:szCs w:val="24"/>
          <w:lang w:val="en-US"/>
        </w:rPr>
        <w:t>14,</w:t>
      </w:r>
      <w:r w:rsidR="00702916" w:rsidRPr="00A2246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2460">
        <w:rPr>
          <w:rFonts w:ascii="Times New Roman" w:hAnsi="Times New Roman"/>
          <w:sz w:val="24"/>
          <w:szCs w:val="24"/>
          <w:lang w:val="en-US"/>
        </w:rPr>
        <w:t>2022.</w:t>
      </w:r>
    </w:p>
    <w:p w14:paraId="7A9E4CD8" w14:textId="77777777" w:rsidR="00A54333" w:rsidRPr="00A22460" w:rsidRDefault="00A54333" w:rsidP="00AA5D66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15A0D924" w14:textId="32AE13F3" w:rsidR="0082005F" w:rsidRPr="00A22460" w:rsidRDefault="0082005F" w:rsidP="00AA5D66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22460">
        <w:rPr>
          <w:rFonts w:ascii="Times New Roman" w:hAnsi="Times New Roman"/>
          <w:sz w:val="24"/>
          <w:szCs w:val="24"/>
          <w:lang w:val="en-US"/>
        </w:rPr>
        <w:t xml:space="preserve">FERREIRA, D. F. SISVAR: A computer analysis system to fixed effects split plot type designs. </w:t>
      </w:r>
      <w:proofErr w:type="spellStart"/>
      <w:r w:rsidRPr="00A22460">
        <w:rPr>
          <w:rFonts w:ascii="Times New Roman" w:hAnsi="Times New Roman"/>
          <w:b/>
          <w:bCs/>
          <w:sz w:val="24"/>
          <w:szCs w:val="24"/>
          <w:lang w:val="en-US"/>
        </w:rPr>
        <w:t>Revista</w:t>
      </w:r>
      <w:proofErr w:type="spellEnd"/>
      <w:r w:rsidRPr="00A22460">
        <w:rPr>
          <w:rFonts w:ascii="Times New Roman" w:hAnsi="Times New Roman"/>
          <w:b/>
          <w:bCs/>
          <w:sz w:val="24"/>
          <w:szCs w:val="24"/>
          <w:lang w:val="en-US"/>
        </w:rPr>
        <w:t xml:space="preserve"> Brasileira De </w:t>
      </w:r>
      <w:proofErr w:type="spellStart"/>
      <w:r w:rsidRPr="00A22460">
        <w:rPr>
          <w:rFonts w:ascii="Times New Roman" w:hAnsi="Times New Roman"/>
          <w:b/>
          <w:bCs/>
          <w:sz w:val="24"/>
          <w:szCs w:val="24"/>
          <w:lang w:val="en-US"/>
        </w:rPr>
        <w:t>Biometria</w:t>
      </w:r>
      <w:proofErr w:type="spellEnd"/>
      <w:r w:rsidRPr="00A2246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9F604D" w:rsidRPr="00A22460">
        <w:rPr>
          <w:rFonts w:ascii="Times New Roman" w:hAnsi="Times New Roman"/>
          <w:sz w:val="24"/>
          <w:szCs w:val="24"/>
          <w:lang w:val="en-US"/>
        </w:rPr>
        <w:t>Lavras</w:t>
      </w:r>
      <w:proofErr w:type="spellEnd"/>
      <w:r w:rsidR="009F604D" w:rsidRPr="00A22460">
        <w:rPr>
          <w:rFonts w:ascii="Times New Roman" w:hAnsi="Times New Roman"/>
          <w:sz w:val="24"/>
          <w:szCs w:val="24"/>
          <w:lang w:val="en-US"/>
        </w:rPr>
        <w:t>,</w:t>
      </w:r>
      <w:r w:rsidRPr="00A22460">
        <w:rPr>
          <w:rFonts w:ascii="Times New Roman" w:hAnsi="Times New Roman"/>
          <w:sz w:val="24"/>
          <w:szCs w:val="24"/>
          <w:lang w:val="en-US"/>
        </w:rPr>
        <w:t xml:space="preserve"> v. 37, n. 4, p. 529-535, dec. 2019. </w:t>
      </w:r>
    </w:p>
    <w:p w14:paraId="41340841" w14:textId="77777777" w:rsidR="00A54333" w:rsidRPr="00A22460" w:rsidRDefault="00A54333" w:rsidP="00AA5D66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415CE26C" w14:textId="3CBFA374" w:rsidR="0082005F" w:rsidRPr="00A22460" w:rsidRDefault="0082005F" w:rsidP="00AA5D66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22460">
        <w:rPr>
          <w:rFonts w:ascii="Times New Roman" w:hAnsi="Times New Roman"/>
          <w:sz w:val="24"/>
          <w:szCs w:val="24"/>
          <w:lang w:val="en-US"/>
        </w:rPr>
        <w:t xml:space="preserve">GOÑI, O.; QUILLE, P.; O’CONNELL, S. </w:t>
      </w:r>
      <w:r w:rsidRPr="00A22460">
        <w:rPr>
          <w:rFonts w:ascii="Times New Roman" w:hAnsi="Times New Roman"/>
          <w:i/>
          <w:iCs/>
          <w:sz w:val="24"/>
          <w:szCs w:val="24"/>
          <w:lang w:val="en-US"/>
        </w:rPr>
        <w:t>Ascophyllum nodosum</w:t>
      </w:r>
      <w:r w:rsidRPr="00A22460">
        <w:rPr>
          <w:rFonts w:ascii="Times New Roman" w:hAnsi="Times New Roman"/>
          <w:sz w:val="24"/>
          <w:szCs w:val="24"/>
          <w:lang w:val="en-US"/>
        </w:rPr>
        <w:t xml:space="preserve"> extract </w:t>
      </w:r>
      <w:proofErr w:type="spellStart"/>
      <w:r w:rsidRPr="00A22460">
        <w:rPr>
          <w:rFonts w:ascii="Times New Roman" w:hAnsi="Times New Roman"/>
          <w:sz w:val="24"/>
          <w:szCs w:val="24"/>
          <w:lang w:val="en-US"/>
        </w:rPr>
        <w:t>biostimulants</w:t>
      </w:r>
      <w:proofErr w:type="spellEnd"/>
      <w:r w:rsidRPr="00A22460">
        <w:rPr>
          <w:rFonts w:ascii="Times New Roman" w:hAnsi="Times New Roman"/>
          <w:sz w:val="24"/>
          <w:szCs w:val="24"/>
          <w:lang w:val="en-US"/>
        </w:rPr>
        <w:t xml:space="preserve"> and their role in enhancing tolerance to drought stress in tomato plants. </w:t>
      </w:r>
      <w:r w:rsidRPr="00A22460">
        <w:rPr>
          <w:rFonts w:ascii="Times New Roman" w:hAnsi="Times New Roman"/>
          <w:b/>
          <w:sz w:val="24"/>
          <w:szCs w:val="24"/>
          <w:lang w:val="en-US"/>
        </w:rPr>
        <w:t>Plant Physiology and Biochemistry</w:t>
      </w:r>
      <w:r w:rsidRPr="00A22460">
        <w:rPr>
          <w:rFonts w:ascii="Times New Roman" w:hAnsi="Times New Roman"/>
          <w:sz w:val="24"/>
          <w:szCs w:val="24"/>
          <w:lang w:val="en-US"/>
        </w:rPr>
        <w:t>,</w:t>
      </w:r>
      <w:r w:rsidR="009F604D" w:rsidRPr="00A22460">
        <w:rPr>
          <w:rFonts w:ascii="Times New Roman" w:hAnsi="Times New Roman"/>
          <w:sz w:val="24"/>
          <w:szCs w:val="24"/>
          <w:lang w:val="en-US"/>
        </w:rPr>
        <w:t xml:space="preserve"> Amsterdam,</w:t>
      </w:r>
      <w:r w:rsidRPr="00A2246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164A9" w:rsidRPr="00A22460">
        <w:rPr>
          <w:rFonts w:ascii="Times New Roman" w:hAnsi="Times New Roman"/>
          <w:sz w:val="24"/>
          <w:szCs w:val="24"/>
          <w:lang w:val="en-US"/>
        </w:rPr>
        <w:t xml:space="preserve">v. </w:t>
      </w:r>
      <w:r w:rsidR="0097246B" w:rsidRPr="00A22460">
        <w:rPr>
          <w:rFonts w:ascii="Times New Roman" w:hAnsi="Times New Roman"/>
          <w:sz w:val="24"/>
          <w:szCs w:val="24"/>
          <w:lang w:val="en-US"/>
        </w:rPr>
        <w:t>126</w:t>
      </w:r>
      <w:r w:rsidR="00E164A9" w:rsidRPr="00A22460">
        <w:rPr>
          <w:rFonts w:ascii="Times New Roman" w:hAnsi="Times New Roman"/>
          <w:sz w:val="24"/>
          <w:szCs w:val="24"/>
          <w:lang w:val="en-US"/>
        </w:rPr>
        <w:t xml:space="preserve">, p. </w:t>
      </w:r>
      <w:r w:rsidR="0097246B" w:rsidRPr="00A22460">
        <w:rPr>
          <w:rFonts w:ascii="Times New Roman" w:hAnsi="Times New Roman"/>
          <w:sz w:val="24"/>
          <w:szCs w:val="24"/>
          <w:lang w:val="en-US"/>
        </w:rPr>
        <w:t>63</w:t>
      </w:r>
      <w:r w:rsidR="00E164A9" w:rsidRPr="00A22460">
        <w:rPr>
          <w:rFonts w:ascii="Times New Roman" w:hAnsi="Times New Roman"/>
          <w:sz w:val="24"/>
          <w:szCs w:val="24"/>
          <w:lang w:val="en-US"/>
        </w:rPr>
        <w:t>-</w:t>
      </w:r>
      <w:r w:rsidR="0097246B" w:rsidRPr="00A22460">
        <w:rPr>
          <w:rFonts w:ascii="Times New Roman" w:hAnsi="Times New Roman"/>
          <w:sz w:val="24"/>
          <w:szCs w:val="24"/>
          <w:lang w:val="en-US"/>
        </w:rPr>
        <w:t>73</w:t>
      </w:r>
      <w:r w:rsidR="00E164A9" w:rsidRPr="00A22460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A22460">
        <w:rPr>
          <w:rFonts w:ascii="Times New Roman" w:hAnsi="Times New Roman"/>
          <w:sz w:val="24"/>
          <w:szCs w:val="24"/>
          <w:lang w:val="en-US"/>
        </w:rPr>
        <w:t xml:space="preserve">2018. </w:t>
      </w:r>
      <w:proofErr w:type="spellStart"/>
      <w:r w:rsidRPr="00255911">
        <w:rPr>
          <w:rFonts w:ascii="Times New Roman" w:hAnsi="Times New Roman"/>
          <w:sz w:val="24"/>
          <w:szCs w:val="24"/>
          <w:lang w:val="en-US"/>
        </w:rPr>
        <w:t>Disponível</w:t>
      </w:r>
      <w:proofErr w:type="spellEnd"/>
      <w:r w:rsidRPr="0025591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55911">
        <w:rPr>
          <w:rFonts w:ascii="Times New Roman" w:hAnsi="Times New Roman"/>
          <w:sz w:val="24"/>
          <w:szCs w:val="24"/>
          <w:lang w:val="en-US"/>
        </w:rPr>
        <w:t>em</w:t>
      </w:r>
      <w:proofErr w:type="spellEnd"/>
      <w:r w:rsidRPr="00255911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255911">
        <w:rPr>
          <w:rFonts w:ascii="Times New Roman" w:hAnsi="Times New Roman"/>
          <w:sz w:val="24"/>
          <w:szCs w:val="24"/>
          <w:lang w:val="en-US"/>
        </w:rPr>
        <w:t xml:space="preserve">https://consensus.app/papers/ascophyllum-nodosum-biostimulants-role-enhancing-goñi/9d53b1803b79564b905dbc9c5818a968. </w:t>
      </w:r>
      <w:proofErr w:type="spellStart"/>
      <w:r w:rsidRPr="00A22460">
        <w:rPr>
          <w:rFonts w:ascii="Times New Roman" w:hAnsi="Times New Roman"/>
          <w:sz w:val="24"/>
          <w:szCs w:val="24"/>
          <w:lang w:val="en-US"/>
        </w:rPr>
        <w:t>Acesso</w:t>
      </w:r>
      <w:proofErr w:type="spellEnd"/>
      <w:r w:rsidRPr="00A2246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2460">
        <w:rPr>
          <w:rFonts w:ascii="Times New Roman" w:hAnsi="Times New Roman"/>
          <w:sz w:val="24"/>
          <w:szCs w:val="24"/>
          <w:lang w:val="en-US"/>
        </w:rPr>
        <w:t>em</w:t>
      </w:r>
      <w:proofErr w:type="spellEnd"/>
      <w:r w:rsidRPr="00A22460">
        <w:rPr>
          <w:rFonts w:ascii="Times New Roman" w:hAnsi="Times New Roman"/>
          <w:sz w:val="24"/>
          <w:szCs w:val="24"/>
          <w:lang w:val="en-US"/>
        </w:rPr>
        <w:t>: 29 out. 2024.</w:t>
      </w:r>
    </w:p>
    <w:p w14:paraId="0809F652" w14:textId="77777777" w:rsidR="00A54333" w:rsidRPr="00A22460" w:rsidRDefault="00A54333" w:rsidP="00AA5D66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23673309" w14:textId="409A8E3E" w:rsidR="0082005F" w:rsidRPr="00255911" w:rsidRDefault="0082005F" w:rsidP="00AA5D66">
      <w:pPr>
        <w:spacing w:after="0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  <w:lang w:val="en-US"/>
        </w:rPr>
        <w:t xml:space="preserve">HAMID, B.; </w:t>
      </w:r>
      <w:r w:rsidR="00BF2E31" w:rsidRPr="00A22460">
        <w:rPr>
          <w:rFonts w:ascii="Times New Roman" w:hAnsi="Times New Roman"/>
          <w:sz w:val="24"/>
          <w:szCs w:val="24"/>
          <w:lang w:val="en-US"/>
        </w:rPr>
        <w:t xml:space="preserve">ZAMAN, M.; FAROOQ, S.; FATIMA, S.; SAYYED, R. Z.; BABA, Z. A.; SHEIKH, T. A.; REDDY, M. S.; ENSHASY, H. E.; SURIANI, N. L. </w:t>
      </w:r>
      <w:r w:rsidRPr="00A22460">
        <w:rPr>
          <w:rFonts w:ascii="Times New Roman" w:hAnsi="Times New Roman"/>
          <w:sz w:val="24"/>
          <w:szCs w:val="24"/>
          <w:lang w:val="en-US"/>
        </w:rPr>
        <w:t xml:space="preserve">Bacterial Plant </w:t>
      </w:r>
      <w:proofErr w:type="spellStart"/>
      <w:r w:rsidRPr="00A22460">
        <w:rPr>
          <w:rFonts w:ascii="Times New Roman" w:hAnsi="Times New Roman"/>
          <w:sz w:val="24"/>
          <w:szCs w:val="24"/>
          <w:lang w:val="en-US"/>
        </w:rPr>
        <w:t>Biostimulants</w:t>
      </w:r>
      <w:proofErr w:type="spellEnd"/>
      <w:r w:rsidRPr="00A22460">
        <w:rPr>
          <w:rFonts w:ascii="Times New Roman" w:hAnsi="Times New Roman"/>
          <w:sz w:val="24"/>
          <w:szCs w:val="24"/>
          <w:lang w:val="en-US"/>
        </w:rPr>
        <w:t xml:space="preserve">: A Sustainable Way towards Improving Growth, Productivity, and Health of Crops. </w:t>
      </w:r>
      <w:r w:rsidRPr="00A22460">
        <w:rPr>
          <w:rFonts w:ascii="Times New Roman" w:hAnsi="Times New Roman"/>
          <w:b/>
          <w:sz w:val="24"/>
          <w:szCs w:val="24"/>
        </w:rPr>
        <w:t>Sustainability</w:t>
      </w:r>
      <w:r w:rsidRPr="00A22460">
        <w:rPr>
          <w:rFonts w:ascii="Times New Roman" w:hAnsi="Times New Roman"/>
          <w:sz w:val="24"/>
          <w:szCs w:val="24"/>
        </w:rPr>
        <w:t>,</w:t>
      </w:r>
      <w:r w:rsidR="009F604D" w:rsidRPr="00A22460">
        <w:rPr>
          <w:rFonts w:ascii="Times New Roman" w:hAnsi="Times New Roman"/>
          <w:sz w:val="24"/>
          <w:szCs w:val="24"/>
        </w:rPr>
        <w:t xml:space="preserve"> Basel, </w:t>
      </w:r>
      <w:r w:rsidRPr="00A22460">
        <w:rPr>
          <w:rFonts w:ascii="Times New Roman" w:hAnsi="Times New Roman"/>
          <w:sz w:val="24"/>
          <w:szCs w:val="24"/>
        </w:rPr>
        <w:t xml:space="preserve">2021. Disponível em: </w:t>
      </w:r>
      <w:r w:rsidR="00BF2E31" w:rsidRPr="00A22460">
        <w:rPr>
          <w:rFonts w:ascii="Times New Roman" w:hAnsi="Times New Roman"/>
          <w:sz w:val="24"/>
          <w:szCs w:val="24"/>
        </w:rPr>
        <w:t>https://www.mdpi.com/2071-1050/13/5/2856</w:t>
      </w:r>
      <w:r w:rsidRPr="00A22460">
        <w:rPr>
          <w:rFonts w:ascii="Times New Roman" w:hAnsi="Times New Roman"/>
          <w:sz w:val="24"/>
          <w:szCs w:val="24"/>
        </w:rPr>
        <w:t xml:space="preserve">. </w:t>
      </w:r>
      <w:r w:rsidRPr="00255911">
        <w:rPr>
          <w:rFonts w:ascii="Times New Roman" w:hAnsi="Times New Roman"/>
          <w:sz w:val="24"/>
          <w:szCs w:val="24"/>
        </w:rPr>
        <w:t>Acesso em: 29 out. 2024.</w:t>
      </w:r>
    </w:p>
    <w:p w14:paraId="13074183" w14:textId="77777777" w:rsidR="00A54333" w:rsidRPr="00255911" w:rsidRDefault="00A54333" w:rsidP="00AA5D66">
      <w:pPr>
        <w:spacing w:after="0"/>
        <w:rPr>
          <w:rFonts w:ascii="Times New Roman" w:hAnsi="Times New Roman"/>
          <w:sz w:val="24"/>
          <w:szCs w:val="24"/>
        </w:rPr>
      </w:pPr>
    </w:p>
    <w:p w14:paraId="3E57C7CE" w14:textId="3B056303" w:rsidR="0082005F" w:rsidRPr="00A22460" w:rsidRDefault="0082005F" w:rsidP="00AA5D66">
      <w:pPr>
        <w:spacing w:after="0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  <w:lang w:val="en-US"/>
        </w:rPr>
        <w:t xml:space="preserve">KAUSHAL, P.; ALI, N.; SAINI, S.; PATI, P.; PATI, A. M. Physiological and molecular insight of microbial </w:t>
      </w:r>
      <w:proofErr w:type="spellStart"/>
      <w:r w:rsidRPr="00A22460">
        <w:rPr>
          <w:rFonts w:ascii="Times New Roman" w:hAnsi="Times New Roman"/>
          <w:sz w:val="24"/>
          <w:szCs w:val="24"/>
          <w:lang w:val="en-US"/>
        </w:rPr>
        <w:t>biostimulants</w:t>
      </w:r>
      <w:proofErr w:type="spellEnd"/>
      <w:r w:rsidRPr="00A22460">
        <w:rPr>
          <w:rFonts w:ascii="Times New Roman" w:hAnsi="Times New Roman"/>
          <w:sz w:val="24"/>
          <w:szCs w:val="24"/>
          <w:lang w:val="en-US"/>
        </w:rPr>
        <w:t xml:space="preserve"> for sustainable agriculture. </w:t>
      </w:r>
      <w:proofErr w:type="spellStart"/>
      <w:r w:rsidRPr="00A22460">
        <w:rPr>
          <w:rFonts w:ascii="Times New Roman" w:hAnsi="Times New Roman"/>
          <w:b/>
          <w:sz w:val="24"/>
          <w:szCs w:val="24"/>
        </w:rPr>
        <w:t>Frontiers</w:t>
      </w:r>
      <w:proofErr w:type="spellEnd"/>
      <w:r w:rsidRPr="00A22460">
        <w:rPr>
          <w:rFonts w:ascii="Times New Roman" w:hAnsi="Times New Roman"/>
          <w:b/>
          <w:sz w:val="24"/>
          <w:szCs w:val="24"/>
        </w:rPr>
        <w:t xml:space="preserve"> in Plant Science</w:t>
      </w:r>
      <w:r w:rsidRPr="00A22460">
        <w:rPr>
          <w:rFonts w:ascii="Times New Roman" w:hAnsi="Times New Roman"/>
          <w:sz w:val="24"/>
          <w:szCs w:val="24"/>
        </w:rPr>
        <w:t>,</w:t>
      </w:r>
      <w:r w:rsidR="009F604D" w:rsidRPr="00A22460">
        <w:rPr>
          <w:rFonts w:ascii="Times New Roman" w:hAnsi="Times New Roman"/>
          <w:sz w:val="24"/>
          <w:szCs w:val="24"/>
        </w:rPr>
        <w:t xml:space="preserve"> Lausanne,</w:t>
      </w:r>
      <w:r w:rsidRPr="00A22460">
        <w:rPr>
          <w:rFonts w:ascii="Times New Roman" w:hAnsi="Times New Roman"/>
          <w:sz w:val="24"/>
          <w:szCs w:val="24"/>
        </w:rPr>
        <w:t xml:space="preserve"> </w:t>
      </w:r>
      <w:r w:rsidR="009F604D" w:rsidRPr="00A22460">
        <w:rPr>
          <w:rFonts w:ascii="Times New Roman" w:hAnsi="Times New Roman"/>
          <w:sz w:val="24"/>
          <w:szCs w:val="24"/>
        </w:rPr>
        <w:t>v.</w:t>
      </w:r>
      <w:r w:rsidR="007231EC" w:rsidRPr="00A22460">
        <w:rPr>
          <w:rFonts w:ascii="Times New Roman" w:hAnsi="Times New Roman"/>
          <w:sz w:val="24"/>
          <w:szCs w:val="24"/>
        </w:rPr>
        <w:t xml:space="preserve"> </w:t>
      </w:r>
      <w:r w:rsidR="009F604D" w:rsidRPr="00A22460">
        <w:rPr>
          <w:rFonts w:ascii="Times New Roman" w:hAnsi="Times New Roman"/>
          <w:sz w:val="24"/>
          <w:szCs w:val="24"/>
        </w:rPr>
        <w:t>14, n.</w:t>
      </w:r>
      <w:r w:rsidR="007231EC" w:rsidRPr="00A22460">
        <w:rPr>
          <w:rFonts w:ascii="Times New Roman" w:hAnsi="Times New Roman"/>
          <w:sz w:val="24"/>
          <w:szCs w:val="24"/>
        </w:rPr>
        <w:t xml:space="preserve"> </w:t>
      </w:r>
      <w:r w:rsidR="009F604D" w:rsidRPr="00A22460">
        <w:rPr>
          <w:rFonts w:ascii="Times New Roman" w:hAnsi="Times New Roman"/>
          <w:sz w:val="24"/>
          <w:szCs w:val="24"/>
        </w:rPr>
        <w:t>1, p.</w:t>
      </w:r>
      <w:r w:rsidR="007231EC" w:rsidRPr="00A22460">
        <w:rPr>
          <w:rFonts w:ascii="Times New Roman" w:hAnsi="Times New Roman"/>
          <w:sz w:val="24"/>
          <w:szCs w:val="24"/>
        </w:rPr>
        <w:t xml:space="preserve"> </w:t>
      </w:r>
      <w:r w:rsidR="009F604D" w:rsidRPr="00A22460">
        <w:rPr>
          <w:rFonts w:ascii="Times New Roman" w:hAnsi="Times New Roman"/>
          <w:sz w:val="24"/>
          <w:szCs w:val="24"/>
        </w:rPr>
        <w:t xml:space="preserve">1-17, </w:t>
      </w:r>
      <w:r w:rsidRPr="00A22460">
        <w:rPr>
          <w:rFonts w:ascii="Times New Roman" w:hAnsi="Times New Roman"/>
          <w:sz w:val="24"/>
          <w:szCs w:val="24"/>
        </w:rPr>
        <w:t xml:space="preserve">2023. </w:t>
      </w:r>
    </w:p>
    <w:p w14:paraId="225853C8" w14:textId="77777777" w:rsidR="00A54333" w:rsidRPr="00A22460" w:rsidRDefault="00A54333" w:rsidP="00AA5D66">
      <w:pPr>
        <w:spacing w:after="0"/>
        <w:rPr>
          <w:rFonts w:ascii="Times New Roman" w:hAnsi="Times New Roman"/>
          <w:sz w:val="24"/>
          <w:szCs w:val="24"/>
        </w:rPr>
      </w:pPr>
    </w:p>
    <w:p w14:paraId="7B660E4F" w14:textId="3D5B5E5B" w:rsidR="0082005F" w:rsidRPr="00A22460" w:rsidRDefault="0082005F" w:rsidP="00AA5D66">
      <w:pPr>
        <w:spacing w:after="0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 xml:space="preserve">KOLLING, D. F.; SANGOI, L.; SOUZA, C. A. D.; SCHENATTO, D. E.; GIORDANI, W.; BONIATTI, C. M. Tratamento de sementes com bioestimulante ao milho submetido a diferentes variabilidades na distribuição espacial das plantas. </w:t>
      </w:r>
      <w:r w:rsidRPr="00A22460">
        <w:rPr>
          <w:rFonts w:ascii="Times New Roman" w:hAnsi="Times New Roman"/>
          <w:b/>
          <w:sz w:val="24"/>
          <w:szCs w:val="24"/>
        </w:rPr>
        <w:t>Ciência Rural</w:t>
      </w:r>
      <w:r w:rsidRPr="00A22460">
        <w:rPr>
          <w:rFonts w:ascii="Times New Roman" w:hAnsi="Times New Roman"/>
          <w:sz w:val="24"/>
          <w:szCs w:val="24"/>
        </w:rPr>
        <w:t>,</w:t>
      </w:r>
      <w:r w:rsidR="007F0067" w:rsidRPr="00A22460">
        <w:rPr>
          <w:rFonts w:ascii="Times New Roman" w:hAnsi="Times New Roman"/>
          <w:sz w:val="24"/>
          <w:szCs w:val="24"/>
        </w:rPr>
        <w:t xml:space="preserve"> Santa Maria,</w:t>
      </w:r>
      <w:r w:rsidRPr="00A22460">
        <w:rPr>
          <w:rFonts w:ascii="Times New Roman" w:hAnsi="Times New Roman"/>
          <w:sz w:val="24"/>
          <w:szCs w:val="24"/>
        </w:rPr>
        <w:t xml:space="preserve"> v. 46, n. 2, p. 28-253, 2016.</w:t>
      </w:r>
    </w:p>
    <w:p w14:paraId="1E69D65E" w14:textId="77777777" w:rsidR="00A54333" w:rsidRPr="00A22460" w:rsidRDefault="00A54333" w:rsidP="00AA5D66">
      <w:pPr>
        <w:spacing w:after="0"/>
        <w:rPr>
          <w:rFonts w:ascii="Times New Roman" w:hAnsi="Times New Roman"/>
          <w:sz w:val="24"/>
          <w:szCs w:val="24"/>
        </w:rPr>
      </w:pPr>
    </w:p>
    <w:p w14:paraId="153FDE38" w14:textId="11C287DE" w:rsidR="0082005F" w:rsidRPr="00A22460" w:rsidRDefault="0008109E" w:rsidP="00AA5D66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22460">
        <w:rPr>
          <w:rFonts w:ascii="Times New Roman" w:hAnsi="Times New Roman"/>
          <w:sz w:val="24"/>
          <w:szCs w:val="24"/>
        </w:rPr>
        <w:t xml:space="preserve">KÖPPEN, W.; GEIGER, R. </w:t>
      </w:r>
      <w:proofErr w:type="spellStart"/>
      <w:r w:rsidRPr="00A22460">
        <w:rPr>
          <w:rFonts w:ascii="Times New Roman" w:hAnsi="Times New Roman"/>
          <w:b/>
          <w:bCs/>
          <w:sz w:val="24"/>
          <w:szCs w:val="24"/>
        </w:rPr>
        <w:t>Klimate</w:t>
      </w:r>
      <w:proofErr w:type="spellEnd"/>
      <w:r w:rsidRPr="00A22460">
        <w:rPr>
          <w:rFonts w:ascii="Times New Roman" w:hAnsi="Times New Roman"/>
          <w:b/>
          <w:bCs/>
          <w:sz w:val="24"/>
          <w:szCs w:val="24"/>
        </w:rPr>
        <w:t xml:space="preserve"> der </w:t>
      </w:r>
      <w:proofErr w:type="spellStart"/>
      <w:r w:rsidRPr="00A22460">
        <w:rPr>
          <w:rFonts w:ascii="Times New Roman" w:hAnsi="Times New Roman"/>
          <w:b/>
          <w:bCs/>
          <w:sz w:val="24"/>
          <w:szCs w:val="24"/>
        </w:rPr>
        <w:t>Erde</w:t>
      </w:r>
      <w:proofErr w:type="spellEnd"/>
      <w:r w:rsidRPr="00A22460">
        <w:rPr>
          <w:rFonts w:ascii="Times New Roman" w:hAnsi="Times New Roman"/>
          <w:b/>
          <w:bCs/>
          <w:sz w:val="24"/>
          <w:szCs w:val="24"/>
        </w:rPr>
        <w:t>.</w:t>
      </w:r>
      <w:r w:rsidRPr="00A22460">
        <w:rPr>
          <w:rFonts w:ascii="Times New Roman" w:hAnsi="Times New Roman"/>
          <w:sz w:val="24"/>
          <w:szCs w:val="24"/>
        </w:rPr>
        <w:t xml:space="preserve"> </w:t>
      </w:r>
      <w:r w:rsidRPr="00A22460">
        <w:rPr>
          <w:rFonts w:ascii="Times New Roman" w:hAnsi="Times New Roman"/>
          <w:sz w:val="24"/>
          <w:szCs w:val="24"/>
          <w:lang w:val="en-US"/>
        </w:rPr>
        <w:t>Gotha: Verlag Justus Perthes. 1928.</w:t>
      </w:r>
    </w:p>
    <w:p w14:paraId="67C546B0" w14:textId="77777777" w:rsidR="00A54333" w:rsidRPr="00A22460" w:rsidRDefault="00A54333" w:rsidP="00AA5D66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2C6E61DB" w14:textId="621CE82C" w:rsidR="0082005F" w:rsidRPr="00A22460" w:rsidRDefault="0082005F" w:rsidP="00AA5D66">
      <w:pPr>
        <w:spacing w:after="0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  <w:lang w:val="en-US"/>
        </w:rPr>
        <w:t>NEPHALI, L.; MOODLEY, V.; PIATER, L</w:t>
      </w:r>
      <w:r w:rsidR="007F0067" w:rsidRPr="00A22460">
        <w:rPr>
          <w:rFonts w:ascii="Times New Roman" w:hAnsi="Times New Roman"/>
          <w:sz w:val="24"/>
          <w:szCs w:val="24"/>
          <w:lang w:val="en-US"/>
        </w:rPr>
        <w:t>.; STEENKAMP, P.; BUTHELEZI, N.; DUBERY, I.; BURGESS, K.; HUYSER, J.; TUGIZIMANA, F.</w:t>
      </w:r>
      <w:r w:rsidRPr="00A2246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F0067" w:rsidRPr="00A22460">
        <w:rPr>
          <w:rFonts w:ascii="Times New Roman" w:hAnsi="Times New Roman"/>
          <w:sz w:val="24"/>
          <w:szCs w:val="24"/>
          <w:lang w:val="en-US"/>
        </w:rPr>
        <w:t xml:space="preserve">A metabolomic landscape of maize plants treated with a microbial </w:t>
      </w:r>
      <w:proofErr w:type="spellStart"/>
      <w:r w:rsidR="007F0067" w:rsidRPr="00A22460">
        <w:rPr>
          <w:rFonts w:ascii="Times New Roman" w:hAnsi="Times New Roman"/>
          <w:sz w:val="24"/>
          <w:szCs w:val="24"/>
          <w:lang w:val="en-US"/>
        </w:rPr>
        <w:t>biostimulant</w:t>
      </w:r>
      <w:proofErr w:type="spellEnd"/>
      <w:r w:rsidR="007F0067" w:rsidRPr="00A22460">
        <w:rPr>
          <w:rFonts w:ascii="Times New Roman" w:hAnsi="Times New Roman"/>
          <w:sz w:val="24"/>
          <w:szCs w:val="24"/>
          <w:lang w:val="en-US"/>
        </w:rPr>
        <w:t xml:space="preserve"> under well-watered and drought conditions</w:t>
      </w:r>
      <w:r w:rsidRPr="00A22460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A22460">
        <w:rPr>
          <w:rFonts w:ascii="Times New Roman" w:hAnsi="Times New Roman"/>
          <w:b/>
          <w:sz w:val="24"/>
          <w:szCs w:val="24"/>
        </w:rPr>
        <w:t>Frontiers</w:t>
      </w:r>
      <w:proofErr w:type="spellEnd"/>
      <w:r w:rsidRPr="00A22460">
        <w:rPr>
          <w:rFonts w:ascii="Times New Roman" w:hAnsi="Times New Roman"/>
          <w:b/>
          <w:sz w:val="24"/>
          <w:szCs w:val="24"/>
        </w:rPr>
        <w:t xml:space="preserve"> in Plant Science</w:t>
      </w:r>
      <w:r w:rsidRPr="00A22460">
        <w:rPr>
          <w:rFonts w:ascii="Times New Roman" w:hAnsi="Times New Roman"/>
          <w:sz w:val="24"/>
          <w:szCs w:val="24"/>
        </w:rPr>
        <w:t>,</w:t>
      </w:r>
      <w:r w:rsidR="007F0067" w:rsidRPr="00A22460">
        <w:rPr>
          <w:rFonts w:ascii="Times New Roman" w:hAnsi="Times New Roman"/>
          <w:sz w:val="24"/>
          <w:szCs w:val="24"/>
        </w:rPr>
        <w:t xml:space="preserve"> Lausanne,</w:t>
      </w:r>
      <w:r w:rsidRPr="00A22460">
        <w:rPr>
          <w:rFonts w:ascii="Times New Roman" w:hAnsi="Times New Roman"/>
          <w:sz w:val="24"/>
          <w:szCs w:val="24"/>
        </w:rPr>
        <w:t xml:space="preserve"> </w:t>
      </w:r>
      <w:r w:rsidR="007F0067" w:rsidRPr="00A22460">
        <w:rPr>
          <w:rFonts w:ascii="Times New Roman" w:hAnsi="Times New Roman"/>
          <w:sz w:val="24"/>
          <w:szCs w:val="24"/>
        </w:rPr>
        <w:t>v.</w:t>
      </w:r>
      <w:r w:rsidR="007231EC" w:rsidRPr="00A22460">
        <w:rPr>
          <w:rFonts w:ascii="Times New Roman" w:hAnsi="Times New Roman"/>
          <w:sz w:val="24"/>
          <w:szCs w:val="24"/>
        </w:rPr>
        <w:t xml:space="preserve"> </w:t>
      </w:r>
      <w:r w:rsidR="007F0067" w:rsidRPr="00A22460">
        <w:rPr>
          <w:rFonts w:ascii="Times New Roman" w:hAnsi="Times New Roman"/>
          <w:sz w:val="24"/>
          <w:szCs w:val="24"/>
        </w:rPr>
        <w:t>12, n.</w:t>
      </w:r>
      <w:r w:rsidR="007231EC" w:rsidRPr="00A22460">
        <w:rPr>
          <w:rFonts w:ascii="Times New Roman" w:hAnsi="Times New Roman"/>
          <w:sz w:val="24"/>
          <w:szCs w:val="24"/>
        </w:rPr>
        <w:t xml:space="preserve"> </w:t>
      </w:r>
      <w:r w:rsidR="007F0067" w:rsidRPr="00A22460">
        <w:rPr>
          <w:rFonts w:ascii="Times New Roman" w:hAnsi="Times New Roman"/>
          <w:sz w:val="24"/>
          <w:szCs w:val="24"/>
        </w:rPr>
        <w:t>1, p.</w:t>
      </w:r>
      <w:r w:rsidR="007231EC" w:rsidRPr="00A22460">
        <w:rPr>
          <w:rFonts w:ascii="Times New Roman" w:hAnsi="Times New Roman"/>
          <w:sz w:val="24"/>
          <w:szCs w:val="24"/>
        </w:rPr>
        <w:t xml:space="preserve"> </w:t>
      </w:r>
      <w:r w:rsidR="007F0067" w:rsidRPr="00A22460">
        <w:rPr>
          <w:rFonts w:ascii="Times New Roman" w:hAnsi="Times New Roman"/>
          <w:sz w:val="24"/>
          <w:szCs w:val="24"/>
        </w:rPr>
        <w:t xml:space="preserve">1-15, </w:t>
      </w:r>
      <w:r w:rsidRPr="00A22460">
        <w:rPr>
          <w:rFonts w:ascii="Times New Roman" w:hAnsi="Times New Roman"/>
          <w:sz w:val="24"/>
          <w:szCs w:val="24"/>
        </w:rPr>
        <w:t xml:space="preserve">2021. </w:t>
      </w:r>
    </w:p>
    <w:p w14:paraId="0B799521" w14:textId="77777777" w:rsidR="00A54333" w:rsidRPr="00A22460" w:rsidRDefault="00A54333" w:rsidP="00AA5D66">
      <w:pPr>
        <w:spacing w:after="0"/>
        <w:rPr>
          <w:rFonts w:ascii="Times New Roman" w:hAnsi="Times New Roman"/>
          <w:sz w:val="24"/>
          <w:szCs w:val="24"/>
        </w:rPr>
      </w:pPr>
    </w:p>
    <w:p w14:paraId="21ACDCB6" w14:textId="6E08CC43" w:rsidR="0082005F" w:rsidRPr="00A22460" w:rsidRDefault="0082005F" w:rsidP="00AA5D66">
      <w:pPr>
        <w:spacing w:after="0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 xml:space="preserve">PINTO, J. V. </w:t>
      </w:r>
      <w:r w:rsidRPr="00A22460">
        <w:rPr>
          <w:rFonts w:ascii="Times New Roman" w:hAnsi="Times New Roman"/>
          <w:b/>
          <w:sz w:val="24"/>
          <w:szCs w:val="24"/>
        </w:rPr>
        <w:t>Propriedades físicas, químicas, nutricionais e tecnológicas de feijões (</w:t>
      </w:r>
      <w:proofErr w:type="spellStart"/>
      <w:r w:rsidRPr="00A22460">
        <w:rPr>
          <w:rFonts w:ascii="Times New Roman" w:hAnsi="Times New Roman"/>
          <w:b/>
          <w:i/>
          <w:sz w:val="24"/>
          <w:szCs w:val="24"/>
        </w:rPr>
        <w:t>Phaseolus</w:t>
      </w:r>
      <w:proofErr w:type="spellEnd"/>
      <w:r w:rsidRPr="00A2246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A22460">
        <w:rPr>
          <w:rFonts w:ascii="Times New Roman" w:hAnsi="Times New Roman"/>
          <w:b/>
          <w:i/>
          <w:sz w:val="24"/>
          <w:szCs w:val="24"/>
        </w:rPr>
        <w:t>vulgaris</w:t>
      </w:r>
      <w:proofErr w:type="spellEnd"/>
      <w:r w:rsidRPr="00A22460">
        <w:rPr>
          <w:rFonts w:ascii="Times New Roman" w:hAnsi="Times New Roman"/>
          <w:b/>
          <w:sz w:val="24"/>
          <w:szCs w:val="24"/>
        </w:rPr>
        <w:t xml:space="preserve"> L.) de </w:t>
      </w:r>
      <w:r w:rsidRPr="00A22460">
        <w:rPr>
          <w:rFonts w:ascii="Times New Roman" w:hAnsi="Times New Roman"/>
          <w:b/>
          <w:sz w:val="24"/>
          <w:szCs w:val="24"/>
        </w:rPr>
        <w:lastRenderedPageBreak/>
        <w:t>diferentes grupos de cor</w:t>
      </w:r>
      <w:r w:rsidRPr="00A22460">
        <w:rPr>
          <w:rFonts w:ascii="Times New Roman" w:hAnsi="Times New Roman"/>
          <w:sz w:val="24"/>
          <w:szCs w:val="24"/>
        </w:rPr>
        <w:t>. Dissertação (Mestrado em Ciência e Tecnologia de Alimentos) – Universidade Federal de Goiás, G</w:t>
      </w:r>
      <w:r w:rsidR="007F0067" w:rsidRPr="00A22460">
        <w:rPr>
          <w:rFonts w:ascii="Times New Roman" w:hAnsi="Times New Roman"/>
          <w:sz w:val="24"/>
          <w:szCs w:val="24"/>
        </w:rPr>
        <w:t>oiânia</w:t>
      </w:r>
      <w:r w:rsidRPr="00A22460">
        <w:rPr>
          <w:rFonts w:ascii="Times New Roman" w:hAnsi="Times New Roman"/>
          <w:sz w:val="24"/>
          <w:szCs w:val="24"/>
        </w:rPr>
        <w:t>,</w:t>
      </w:r>
      <w:r w:rsidR="00CA039B" w:rsidRPr="00A22460">
        <w:rPr>
          <w:rFonts w:ascii="Times New Roman" w:hAnsi="Times New Roman"/>
          <w:sz w:val="24"/>
          <w:szCs w:val="24"/>
        </w:rPr>
        <w:t xml:space="preserve"> </w:t>
      </w:r>
      <w:r w:rsidRPr="00A22460">
        <w:rPr>
          <w:rFonts w:ascii="Times New Roman" w:hAnsi="Times New Roman"/>
          <w:sz w:val="24"/>
          <w:szCs w:val="24"/>
        </w:rPr>
        <w:t xml:space="preserve">2016. </w:t>
      </w:r>
    </w:p>
    <w:p w14:paraId="010DDF0F" w14:textId="77777777" w:rsidR="00A54333" w:rsidRPr="00A22460" w:rsidRDefault="00A54333" w:rsidP="00AA5D66">
      <w:pPr>
        <w:spacing w:after="0"/>
        <w:rPr>
          <w:rFonts w:ascii="Times New Roman" w:hAnsi="Times New Roman"/>
          <w:sz w:val="24"/>
          <w:szCs w:val="24"/>
        </w:rPr>
      </w:pPr>
    </w:p>
    <w:p w14:paraId="7F9BF6E6" w14:textId="4B2785CE" w:rsidR="0082005F" w:rsidRPr="00A22460" w:rsidRDefault="0082005F" w:rsidP="00AA5D66">
      <w:pPr>
        <w:spacing w:after="0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 xml:space="preserve">PRIETO, C. A.; ALVAREZ, J. W. R.; FIGUEREDO, J. C. K.; TRINIDAD, S. A. Bioestimulante, biofertilizante e inoculação de sementes no crescimento e produtividade da soja. </w:t>
      </w:r>
      <w:r w:rsidRPr="00A22460">
        <w:rPr>
          <w:rFonts w:ascii="Times New Roman" w:hAnsi="Times New Roman"/>
          <w:b/>
          <w:sz w:val="24"/>
          <w:szCs w:val="24"/>
        </w:rPr>
        <w:t>Revista de Agricultura Neotropical</w:t>
      </w:r>
      <w:r w:rsidRPr="00A22460">
        <w:rPr>
          <w:rFonts w:ascii="Times New Roman" w:hAnsi="Times New Roman"/>
          <w:sz w:val="24"/>
          <w:szCs w:val="24"/>
        </w:rPr>
        <w:t>, Cassilândia, v. 4, n. 2, p. 1-8, 2017.</w:t>
      </w:r>
    </w:p>
    <w:p w14:paraId="4E65598C" w14:textId="77777777" w:rsidR="00A54333" w:rsidRPr="00A22460" w:rsidRDefault="00A54333" w:rsidP="00AA5D66">
      <w:pPr>
        <w:spacing w:after="0"/>
        <w:rPr>
          <w:rFonts w:ascii="Times New Roman" w:hAnsi="Times New Roman"/>
          <w:sz w:val="24"/>
          <w:szCs w:val="24"/>
        </w:rPr>
      </w:pPr>
    </w:p>
    <w:p w14:paraId="3063A7EC" w14:textId="25A0D09B" w:rsidR="0082005F" w:rsidRPr="00A22460" w:rsidRDefault="0082005F" w:rsidP="00AA5D66">
      <w:pPr>
        <w:spacing w:after="0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>SANTOS, H. G. dos; JACOMINE, P. K. T.; ANJOS, L. H. C.</w:t>
      </w:r>
      <w:r w:rsidR="007231EC" w:rsidRPr="00A22460">
        <w:rPr>
          <w:rFonts w:ascii="Times New Roman" w:hAnsi="Times New Roman"/>
          <w:sz w:val="24"/>
          <w:szCs w:val="24"/>
        </w:rPr>
        <w:t xml:space="preserve"> dos</w:t>
      </w:r>
      <w:r w:rsidRPr="00A22460">
        <w:rPr>
          <w:rFonts w:ascii="Times New Roman" w:hAnsi="Times New Roman"/>
          <w:sz w:val="24"/>
          <w:szCs w:val="24"/>
        </w:rPr>
        <w:t>; OLIVEIRA, V. A.</w:t>
      </w:r>
      <w:r w:rsidR="007231EC" w:rsidRPr="00A22460">
        <w:rPr>
          <w:rFonts w:ascii="Times New Roman" w:hAnsi="Times New Roman"/>
          <w:sz w:val="24"/>
          <w:szCs w:val="24"/>
        </w:rPr>
        <w:t xml:space="preserve"> de</w:t>
      </w:r>
      <w:r w:rsidRPr="00A22460">
        <w:rPr>
          <w:rFonts w:ascii="Times New Roman" w:hAnsi="Times New Roman"/>
          <w:sz w:val="24"/>
          <w:szCs w:val="24"/>
        </w:rPr>
        <w:t xml:space="preserve">; LUMBRERAS, J. F.; COELHO, M. R.; CUNHA, T. J. F. </w:t>
      </w:r>
      <w:r w:rsidRPr="00A22460">
        <w:rPr>
          <w:rFonts w:ascii="Times New Roman" w:hAnsi="Times New Roman"/>
          <w:b/>
          <w:bCs/>
          <w:sz w:val="24"/>
          <w:szCs w:val="24"/>
        </w:rPr>
        <w:t>Sistema brasileiro de classificação de solos.</w:t>
      </w:r>
      <w:r w:rsidRPr="00A22460">
        <w:rPr>
          <w:rFonts w:ascii="Times New Roman" w:hAnsi="Times New Roman"/>
          <w:sz w:val="24"/>
          <w:szCs w:val="24"/>
        </w:rPr>
        <w:t xml:space="preserve"> 5.</w:t>
      </w:r>
      <w:r w:rsidR="007231EC" w:rsidRPr="00A22460">
        <w:rPr>
          <w:rFonts w:ascii="Times New Roman" w:hAnsi="Times New Roman"/>
          <w:sz w:val="24"/>
          <w:szCs w:val="24"/>
        </w:rPr>
        <w:t xml:space="preserve"> </w:t>
      </w:r>
      <w:r w:rsidRPr="00A22460">
        <w:rPr>
          <w:rFonts w:ascii="Times New Roman" w:hAnsi="Times New Roman"/>
          <w:sz w:val="24"/>
          <w:szCs w:val="24"/>
        </w:rPr>
        <w:t>ed. Brasília</w:t>
      </w:r>
      <w:r w:rsidR="007231EC" w:rsidRPr="00A22460">
        <w:rPr>
          <w:rFonts w:ascii="Times New Roman" w:hAnsi="Times New Roman"/>
          <w:sz w:val="24"/>
          <w:szCs w:val="24"/>
        </w:rPr>
        <w:t>, DF</w:t>
      </w:r>
      <w:r w:rsidRPr="00A22460">
        <w:rPr>
          <w:rFonts w:ascii="Times New Roman" w:hAnsi="Times New Roman"/>
          <w:sz w:val="24"/>
          <w:szCs w:val="24"/>
        </w:rPr>
        <w:t xml:space="preserve">: Embrapa, 2018. </w:t>
      </w:r>
    </w:p>
    <w:p w14:paraId="6CEFF01E" w14:textId="77777777" w:rsidR="00A54333" w:rsidRPr="00A22460" w:rsidRDefault="00A54333" w:rsidP="00AA5D66">
      <w:pPr>
        <w:spacing w:after="0"/>
        <w:rPr>
          <w:rFonts w:ascii="Times New Roman" w:hAnsi="Times New Roman"/>
          <w:sz w:val="24"/>
          <w:szCs w:val="24"/>
        </w:rPr>
      </w:pPr>
    </w:p>
    <w:p w14:paraId="6CE0946A" w14:textId="4103BC73" w:rsidR="0082005F" w:rsidRPr="00255911" w:rsidRDefault="0082005F" w:rsidP="00AA5D66">
      <w:pPr>
        <w:spacing w:after="0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>SILVA, N. F.; CLEMENTE, G. S.; TEIXEIRA, M. B.; SOARES, F. A. L.; CUNHA, F. N.; AZEVEDO, L. O.</w:t>
      </w:r>
      <w:r w:rsidR="007231EC" w:rsidRPr="00A22460">
        <w:rPr>
          <w:rFonts w:ascii="Times New Roman" w:hAnsi="Times New Roman"/>
          <w:sz w:val="24"/>
          <w:szCs w:val="24"/>
        </w:rPr>
        <w:t xml:space="preserve"> S. </w:t>
      </w:r>
      <w:proofErr w:type="spellStart"/>
      <w:r w:rsidR="007231EC" w:rsidRPr="00A22460">
        <w:rPr>
          <w:rFonts w:ascii="Times New Roman" w:hAnsi="Times New Roman"/>
          <w:sz w:val="24"/>
          <w:szCs w:val="24"/>
        </w:rPr>
        <w:t>da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; SANTOS, M. A. </w:t>
      </w:r>
      <w:r w:rsidR="007231EC" w:rsidRPr="00A22460">
        <w:rPr>
          <w:rFonts w:ascii="Times New Roman" w:hAnsi="Times New Roman"/>
          <w:sz w:val="24"/>
          <w:szCs w:val="24"/>
        </w:rPr>
        <w:t xml:space="preserve">dos. </w:t>
      </w:r>
      <w:r w:rsidRPr="00A22460">
        <w:rPr>
          <w:rFonts w:ascii="Times New Roman" w:hAnsi="Times New Roman"/>
          <w:sz w:val="24"/>
          <w:szCs w:val="24"/>
        </w:rPr>
        <w:t xml:space="preserve">Manejo fisiológico específico via tratamento de semente na fase inicial da cultura da soja. </w:t>
      </w:r>
      <w:r w:rsidRPr="00255911">
        <w:rPr>
          <w:rFonts w:ascii="Times New Roman" w:hAnsi="Times New Roman"/>
          <w:b/>
          <w:sz w:val="24"/>
          <w:szCs w:val="24"/>
        </w:rPr>
        <w:t xml:space="preserve">Global Science </w:t>
      </w:r>
      <w:proofErr w:type="spellStart"/>
      <w:r w:rsidRPr="00255911">
        <w:rPr>
          <w:rFonts w:ascii="Times New Roman" w:hAnsi="Times New Roman"/>
          <w:b/>
          <w:sz w:val="24"/>
          <w:szCs w:val="24"/>
        </w:rPr>
        <w:t>and</w:t>
      </w:r>
      <w:proofErr w:type="spellEnd"/>
      <w:r w:rsidRPr="00255911">
        <w:rPr>
          <w:rFonts w:ascii="Times New Roman" w:hAnsi="Times New Roman"/>
          <w:b/>
          <w:sz w:val="24"/>
          <w:szCs w:val="24"/>
        </w:rPr>
        <w:t xml:space="preserve"> Technology</w:t>
      </w:r>
      <w:r w:rsidRPr="00255911">
        <w:rPr>
          <w:rFonts w:ascii="Times New Roman" w:hAnsi="Times New Roman"/>
          <w:sz w:val="24"/>
          <w:szCs w:val="24"/>
        </w:rPr>
        <w:t xml:space="preserve">, </w:t>
      </w:r>
      <w:r w:rsidR="00DB1CE1" w:rsidRPr="00255911">
        <w:rPr>
          <w:rFonts w:ascii="Times New Roman" w:hAnsi="Times New Roman"/>
          <w:sz w:val="24"/>
          <w:szCs w:val="24"/>
        </w:rPr>
        <w:t xml:space="preserve">Rio Verde, </w:t>
      </w:r>
      <w:r w:rsidRPr="00255911">
        <w:rPr>
          <w:rFonts w:ascii="Times New Roman" w:hAnsi="Times New Roman"/>
          <w:sz w:val="24"/>
          <w:szCs w:val="24"/>
        </w:rPr>
        <w:t xml:space="preserve">v. 10, n. 2, </w:t>
      </w:r>
      <w:r w:rsidR="007231EC" w:rsidRPr="00255911">
        <w:rPr>
          <w:rFonts w:ascii="Times New Roman" w:hAnsi="Times New Roman"/>
          <w:sz w:val="24"/>
          <w:szCs w:val="24"/>
        </w:rPr>
        <w:t>p</w:t>
      </w:r>
      <w:r w:rsidR="00643ACC" w:rsidRPr="00255911">
        <w:rPr>
          <w:rFonts w:ascii="Times New Roman" w:hAnsi="Times New Roman"/>
          <w:sz w:val="24"/>
          <w:szCs w:val="24"/>
        </w:rPr>
        <w:t>.</w:t>
      </w:r>
      <w:r w:rsidR="00FC3CAC" w:rsidRPr="00255911">
        <w:rPr>
          <w:rFonts w:ascii="Times New Roman" w:hAnsi="Times New Roman"/>
          <w:sz w:val="24"/>
          <w:szCs w:val="24"/>
        </w:rPr>
        <w:t xml:space="preserve"> </w:t>
      </w:r>
      <w:r w:rsidR="00643ACC" w:rsidRPr="00255911">
        <w:rPr>
          <w:rFonts w:ascii="Times New Roman" w:hAnsi="Times New Roman"/>
          <w:sz w:val="24"/>
          <w:szCs w:val="24"/>
        </w:rPr>
        <w:t>1</w:t>
      </w:r>
      <w:r w:rsidR="007231EC" w:rsidRPr="00255911">
        <w:rPr>
          <w:rFonts w:ascii="Times New Roman" w:hAnsi="Times New Roman"/>
          <w:sz w:val="24"/>
          <w:szCs w:val="24"/>
        </w:rPr>
        <w:t>-</w:t>
      </w:r>
      <w:r w:rsidR="00643ACC" w:rsidRPr="00255911">
        <w:rPr>
          <w:rFonts w:ascii="Times New Roman" w:hAnsi="Times New Roman"/>
          <w:sz w:val="24"/>
          <w:szCs w:val="24"/>
        </w:rPr>
        <w:t>80</w:t>
      </w:r>
      <w:r w:rsidR="007231EC" w:rsidRPr="00255911">
        <w:rPr>
          <w:rFonts w:ascii="Times New Roman" w:hAnsi="Times New Roman"/>
          <w:sz w:val="24"/>
          <w:szCs w:val="24"/>
        </w:rPr>
        <w:t xml:space="preserve">, </w:t>
      </w:r>
      <w:r w:rsidRPr="00255911">
        <w:rPr>
          <w:rFonts w:ascii="Times New Roman" w:hAnsi="Times New Roman"/>
          <w:sz w:val="24"/>
          <w:szCs w:val="24"/>
        </w:rPr>
        <w:t>2017.</w:t>
      </w:r>
    </w:p>
    <w:p w14:paraId="1372BAE8" w14:textId="77777777" w:rsidR="00A54333" w:rsidRPr="00255911" w:rsidRDefault="00A54333" w:rsidP="00AA5D66">
      <w:pPr>
        <w:spacing w:after="0"/>
        <w:rPr>
          <w:rFonts w:ascii="Times New Roman" w:hAnsi="Times New Roman"/>
          <w:sz w:val="24"/>
          <w:szCs w:val="24"/>
        </w:rPr>
      </w:pPr>
    </w:p>
    <w:p w14:paraId="57FAB892" w14:textId="0BCFF911" w:rsidR="00F55791" w:rsidRPr="00A22460" w:rsidRDefault="0082005F" w:rsidP="00AA5D66">
      <w:pPr>
        <w:spacing w:after="0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</w:rPr>
        <w:t>SOUSA, D.</w:t>
      </w:r>
      <w:r w:rsidR="007231EC" w:rsidRPr="00A22460">
        <w:rPr>
          <w:rFonts w:ascii="Times New Roman" w:hAnsi="Times New Roman"/>
          <w:sz w:val="24"/>
          <w:szCs w:val="24"/>
        </w:rPr>
        <w:t xml:space="preserve"> </w:t>
      </w:r>
      <w:r w:rsidRPr="00A22460">
        <w:rPr>
          <w:rFonts w:ascii="Times New Roman" w:hAnsi="Times New Roman"/>
          <w:sz w:val="24"/>
          <w:szCs w:val="24"/>
        </w:rPr>
        <w:t>M.</w:t>
      </w:r>
      <w:r w:rsidR="007231EC" w:rsidRPr="00A22460">
        <w:rPr>
          <w:rFonts w:ascii="Times New Roman" w:hAnsi="Times New Roman"/>
          <w:sz w:val="24"/>
          <w:szCs w:val="24"/>
        </w:rPr>
        <w:t xml:space="preserve"> </w:t>
      </w:r>
      <w:r w:rsidRPr="00A22460">
        <w:rPr>
          <w:rFonts w:ascii="Times New Roman" w:hAnsi="Times New Roman"/>
          <w:sz w:val="24"/>
          <w:szCs w:val="24"/>
        </w:rPr>
        <w:t>G.; LOBATO, E. (</w:t>
      </w:r>
      <w:r w:rsidR="007231EC" w:rsidRPr="00A22460">
        <w:rPr>
          <w:rFonts w:ascii="Times New Roman" w:hAnsi="Times New Roman"/>
          <w:sz w:val="24"/>
          <w:szCs w:val="24"/>
        </w:rPr>
        <w:t>e</w:t>
      </w:r>
      <w:r w:rsidRPr="00A22460">
        <w:rPr>
          <w:rFonts w:ascii="Times New Roman" w:hAnsi="Times New Roman"/>
          <w:sz w:val="24"/>
          <w:szCs w:val="24"/>
        </w:rPr>
        <w:t>d</w:t>
      </w:r>
      <w:r w:rsidR="007231EC" w:rsidRPr="00A22460">
        <w:rPr>
          <w:rFonts w:ascii="Times New Roman" w:hAnsi="Times New Roman"/>
          <w:sz w:val="24"/>
          <w:szCs w:val="24"/>
        </w:rPr>
        <w:t>.</w:t>
      </w:r>
      <w:r w:rsidRPr="00A22460">
        <w:rPr>
          <w:rFonts w:ascii="Times New Roman" w:hAnsi="Times New Roman"/>
          <w:sz w:val="24"/>
          <w:szCs w:val="24"/>
        </w:rPr>
        <w:t xml:space="preserve">). </w:t>
      </w:r>
      <w:r w:rsidRPr="00A22460">
        <w:rPr>
          <w:rFonts w:ascii="Times New Roman" w:hAnsi="Times New Roman"/>
          <w:b/>
          <w:bCs/>
          <w:sz w:val="24"/>
          <w:szCs w:val="24"/>
        </w:rPr>
        <w:t>Cerrado</w:t>
      </w:r>
      <w:r w:rsidRPr="00A22460">
        <w:rPr>
          <w:rFonts w:ascii="Times New Roman" w:hAnsi="Times New Roman"/>
          <w:sz w:val="24"/>
          <w:szCs w:val="24"/>
        </w:rPr>
        <w:t>: correção do solo e adubação. 2. ed. Brasília</w:t>
      </w:r>
      <w:r w:rsidR="007231EC" w:rsidRPr="00A22460">
        <w:rPr>
          <w:rFonts w:ascii="Times New Roman" w:hAnsi="Times New Roman"/>
          <w:sz w:val="24"/>
          <w:szCs w:val="24"/>
        </w:rPr>
        <w:t>, DF</w:t>
      </w:r>
      <w:r w:rsidRPr="00A22460">
        <w:rPr>
          <w:rFonts w:ascii="Times New Roman" w:hAnsi="Times New Roman"/>
          <w:sz w:val="24"/>
          <w:szCs w:val="24"/>
        </w:rPr>
        <w:t>: Embrapa Informação Tecnológica</w:t>
      </w:r>
      <w:r w:rsidR="007231EC" w:rsidRPr="00A22460">
        <w:rPr>
          <w:rFonts w:ascii="Times New Roman" w:hAnsi="Times New Roman"/>
          <w:sz w:val="24"/>
          <w:szCs w:val="24"/>
        </w:rPr>
        <w:t xml:space="preserve">: </w:t>
      </w:r>
      <w:r w:rsidRPr="00A22460">
        <w:rPr>
          <w:rFonts w:ascii="Times New Roman" w:hAnsi="Times New Roman"/>
          <w:sz w:val="24"/>
          <w:szCs w:val="24"/>
        </w:rPr>
        <w:t xml:space="preserve">Embrapa-CPA, 2004. </w:t>
      </w:r>
    </w:p>
    <w:p w14:paraId="1FD8E3F5" w14:textId="77777777" w:rsidR="007231EC" w:rsidRPr="00A22460" w:rsidRDefault="007231EC" w:rsidP="00AA5D66">
      <w:pPr>
        <w:spacing w:after="0"/>
        <w:rPr>
          <w:rFonts w:ascii="Times New Roman" w:hAnsi="Times New Roman"/>
          <w:sz w:val="24"/>
          <w:szCs w:val="24"/>
        </w:rPr>
      </w:pPr>
    </w:p>
    <w:p w14:paraId="63F0B750" w14:textId="7829C5EE" w:rsidR="00F55791" w:rsidRPr="00A22460" w:rsidRDefault="00F55791" w:rsidP="00AA5D66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22460">
        <w:rPr>
          <w:rFonts w:ascii="Times New Roman" w:hAnsi="Times New Roman"/>
          <w:sz w:val="24"/>
          <w:szCs w:val="24"/>
        </w:rPr>
        <w:t>SOUSA, H. C.; SOUSA, G.</w:t>
      </w:r>
      <w:r w:rsidR="007231EC" w:rsidRPr="00A22460">
        <w:rPr>
          <w:rFonts w:ascii="Times New Roman" w:hAnsi="Times New Roman"/>
          <w:sz w:val="24"/>
          <w:szCs w:val="24"/>
        </w:rPr>
        <w:t xml:space="preserve"> G. de</w:t>
      </w:r>
      <w:r w:rsidRPr="00A22460">
        <w:rPr>
          <w:rFonts w:ascii="Times New Roman" w:hAnsi="Times New Roman"/>
          <w:sz w:val="24"/>
          <w:szCs w:val="24"/>
        </w:rPr>
        <w:t>; VIANA, T. V.</w:t>
      </w:r>
      <w:r w:rsidR="007231EC" w:rsidRPr="00A22460">
        <w:rPr>
          <w:rFonts w:ascii="Times New Roman" w:hAnsi="Times New Roman"/>
          <w:sz w:val="24"/>
          <w:szCs w:val="24"/>
        </w:rPr>
        <w:t xml:space="preserve"> A. de</w:t>
      </w:r>
      <w:r w:rsidRPr="00A22460">
        <w:rPr>
          <w:rFonts w:ascii="Times New Roman" w:hAnsi="Times New Roman"/>
          <w:sz w:val="24"/>
          <w:szCs w:val="24"/>
        </w:rPr>
        <w:t>; PEREIRA, A.</w:t>
      </w:r>
      <w:r w:rsidR="007231EC" w:rsidRPr="00A22460">
        <w:rPr>
          <w:rFonts w:ascii="Times New Roman" w:hAnsi="Times New Roman"/>
          <w:sz w:val="24"/>
          <w:szCs w:val="24"/>
        </w:rPr>
        <w:t xml:space="preserve"> P. de A.</w:t>
      </w:r>
      <w:r w:rsidRPr="00A22460">
        <w:rPr>
          <w:rFonts w:ascii="Times New Roman" w:hAnsi="Times New Roman"/>
          <w:sz w:val="24"/>
          <w:szCs w:val="24"/>
        </w:rPr>
        <w:t>;</w:t>
      </w:r>
      <w:r w:rsidR="007231EC" w:rsidRPr="00A22460">
        <w:rPr>
          <w:rFonts w:ascii="Times New Roman" w:hAnsi="Times New Roman"/>
          <w:sz w:val="24"/>
          <w:szCs w:val="24"/>
        </w:rPr>
        <w:t xml:space="preserve"> </w:t>
      </w:r>
      <w:r w:rsidRPr="00A22460">
        <w:rPr>
          <w:rFonts w:ascii="Times New Roman" w:hAnsi="Times New Roman"/>
          <w:sz w:val="24"/>
          <w:szCs w:val="24"/>
        </w:rPr>
        <w:t>LESSA, C. I.</w:t>
      </w:r>
      <w:r w:rsidR="007231EC" w:rsidRPr="00A22460">
        <w:rPr>
          <w:rFonts w:ascii="Times New Roman" w:hAnsi="Times New Roman"/>
          <w:sz w:val="24"/>
          <w:szCs w:val="24"/>
        </w:rPr>
        <w:t xml:space="preserve"> N.</w:t>
      </w:r>
      <w:r w:rsidRPr="00A22460">
        <w:rPr>
          <w:rFonts w:ascii="Times New Roman" w:hAnsi="Times New Roman"/>
          <w:sz w:val="24"/>
          <w:szCs w:val="24"/>
        </w:rPr>
        <w:t>; SOUZA, M. V.</w:t>
      </w:r>
      <w:r w:rsidR="007231EC" w:rsidRPr="00A22460">
        <w:rPr>
          <w:rFonts w:ascii="Times New Roman" w:hAnsi="Times New Roman"/>
          <w:sz w:val="24"/>
          <w:szCs w:val="24"/>
        </w:rPr>
        <w:t xml:space="preserve"> P. de</w:t>
      </w:r>
      <w:r w:rsidRPr="00A22460">
        <w:rPr>
          <w:rFonts w:ascii="Times New Roman" w:hAnsi="Times New Roman"/>
          <w:sz w:val="24"/>
          <w:szCs w:val="24"/>
        </w:rPr>
        <w:t xml:space="preserve">; SILVA, F. D. </w:t>
      </w:r>
      <w:r w:rsidR="00463EFF" w:rsidRPr="00A22460">
        <w:rPr>
          <w:rFonts w:ascii="Times New Roman" w:hAnsi="Times New Roman"/>
          <w:sz w:val="24"/>
          <w:szCs w:val="24"/>
        </w:rPr>
        <w:t xml:space="preserve">B. da. </w:t>
      </w:r>
      <w:r w:rsidRPr="00A22460">
        <w:rPr>
          <w:rFonts w:ascii="Times New Roman" w:hAnsi="Times New Roman"/>
          <w:i/>
          <w:iCs/>
          <w:sz w:val="24"/>
          <w:szCs w:val="24"/>
          <w:lang w:val="en-US"/>
        </w:rPr>
        <w:t xml:space="preserve">Bacillus </w:t>
      </w:r>
      <w:proofErr w:type="spellStart"/>
      <w:r w:rsidRPr="00A22460">
        <w:rPr>
          <w:rFonts w:ascii="Times New Roman" w:hAnsi="Times New Roman"/>
          <w:i/>
          <w:iCs/>
          <w:sz w:val="24"/>
          <w:szCs w:val="24"/>
          <w:lang w:val="en-US"/>
        </w:rPr>
        <w:t>aryabhattai</w:t>
      </w:r>
      <w:proofErr w:type="spellEnd"/>
      <w:r w:rsidRPr="00A22460">
        <w:rPr>
          <w:rFonts w:ascii="Times New Roman" w:hAnsi="Times New Roman"/>
          <w:sz w:val="24"/>
          <w:szCs w:val="24"/>
          <w:lang w:val="en-US"/>
        </w:rPr>
        <w:t xml:space="preserve"> mitigates the effects of salt and water stress on the agronomic performance of maize under an agroecological System. </w:t>
      </w:r>
      <w:r w:rsidRPr="00A22460">
        <w:rPr>
          <w:rFonts w:ascii="Times New Roman" w:hAnsi="Times New Roman"/>
          <w:b/>
          <w:bCs/>
          <w:sz w:val="24"/>
          <w:szCs w:val="24"/>
          <w:lang w:val="en-US"/>
        </w:rPr>
        <w:t>Agriculture</w:t>
      </w:r>
      <w:r w:rsidRPr="00A22460">
        <w:rPr>
          <w:rFonts w:ascii="Times New Roman" w:hAnsi="Times New Roman"/>
          <w:sz w:val="24"/>
          <w:szCs w:val="24"/>
          <w:lang w:val="en-US"/>
        </w:rPr>
        <w:t xml:space="preserve">, Basel, v. 13, n. 6, p. </w:t>
      </w:r>
      <w:r w:rsidR="00643ACC" w:rsidRPr="00A22460">
        <w:rPr>
          <w:rFonts w:ascii="Times New Roman" w:hAnsi="Times New Roman"/>
          <w:sz w:val="24"/>
          <w:szCs w:val="24"/>
          <w:lang w:val="en-US"/>
        </w:rPr>
        <w:t>1</w:t>
      </w:r>
      <w:r w:rsidR="00463EFF" w:rsidRPr="00A22460">
        <w:rPr>
          <w:rFonts w:ascii="Times New Roman" w:hAnsi="Times New Roman"/>
          <w:sz w:val="24"/>
          <w:szCs w:val="24"/>
          <w:lang w:val="en-US"/>
        </w:rPr>
        <w:t>-</w:t>
      </w:r>
      <w:r w:rsidR="00643ACC" w:rsidRPr="00A22460">
        <w:rPr>
          <w:rFonts w:ascii="Times New Roman" w:hAnsi="Times New Roman"/>
          <w:sz w:val="24"/>
          <w:szCs w:val="24"/>
          <w:lang w:val="en-US"/>
        </w:rPr>
        <w:t>20</w:t>
      </w:r>
      <w:r w:rsidRPr="00A22460">
        <w:rPr>
          <w:rFonts w:ascii="Times New Roman" w:hAnsi="Times New Roman"/>
          <w:sz w:val="24"/>
          <w:szCs w:val="24"/>
          <w:lang w:val="en-US"/>
        </w:rPr>
        <w:t>, 2023.</w:t>
      </w:r>
    </w:p>
    <w:p w14:paraId="74990E79" w14:textId="77777777" w:rsidR="00A54333" w:rsidRPr="00A22460" w:rsidRDefault="00A54333" w:rsidP="00AA5D66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678A80E3" w14:textId="3C006210" w:rsidR="0082005F" w:rsidRPr="00A22460" w:rsidRDefault="0082005F" w:rsidP="00AA5D66">
      <w:pPr>
        <w:spacing w:after="0"/>
        <w:rPr>
          <w:rFonts w:ascii="Times New Roman" w:hAnsi="Times New Roman"/>
          <w:sz w:val="24"/>
          <w:szCs w:val="24"/>
        </w:rPr>
      </w:pPr>
      <w:r w:rsidRPr="00A22460">
        <w:rPr>
          <w:rFonts w:ascii="Times New Roman" w:hAnsi="Times New Roman"/>
          <w:sz w:val="24"/>
          <w:szCs w:val="24"/>
          <w:lang w:val="en-US"/>
        </w:rPr>
        <w:t xml:space="preserve">SU, A. Y.; NIU, S. Q.; LIU, Y. Z.; HE, A. L.; ZHAO, Q.; PARÉ, P. W.; ZHANG, J. L. Synergistic effects of </w:t>
      </w:r>
      <w:r w:rsidRPr="00A22460">
        <w:rPr>
          <w:rFonts w:ascii="Times New Roman" w:hAnsi="Times New Roman"/>
          <w:i/>
          <w:sz w:val="24"/>
          <w:szCs w:val="24"/>
          <w:lang w:val="en-US"/>
        </w:rPr>
        <w:t xml:space="preserve">Bacillus </w:t>
      </w:r>
      <w:proofErr w:type="spellStart"/>
      <w:r w:rsidRPr="00A22460">
        <w:rPr>
          <w:rFonts w:ascii="Times New Roman" w:hAnsi="Times New Roman"/>
          <w:i/>
          <w:sz w:val="24"/>
          <w:szCs w:val="24"/>
          <w:lang w:val="en-US"/>
        </w:rPr>
        <w:t>amyloliquefaciens</w:t>
      </w:r>
      <w:proofErr w:type="spellEnd"/>
      <w:r w:rsidRPr="00A22460">
        <w:rPr>
          <w:rFonts w:ascii="Times New Roman" w:hAnsi="Times New Roman"/>
          <w:sz w:val="24"/>
          <w:szCs w:val="24"/>
          <w:lang w:val="en-US"/>
        </w:rPr>
        <w:t xml:space="preserve"> (GB03) and water retaining agent on drought tolerance of perennial ryegrass. </w:t>
      </w:r>
      <w:proofErr w:type="spellStart"/>
      <w:r w:rsidRPr="00A22460">
        <w:rPr>
          <w:rFonts w:ascii="Times New Roman" w:hAnsi="Times New Roman"/>
          <w:b/>
          <w:sz w:val="24"/>
          <w:szCs w:val="24"/>
        </w:rPr>
        <w:t>International</w:t>
      </w:r>
      <w:proofErr w:type="spellEnd"/>
      <w:r w:rsidRPr="00A224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2460">
        <w:rPr>
          <w:rFonts w:ascii="Times New Roman" w:hAnsi="Times New Roman"/>
          <w:b/>
          <w:sz w:val="24"/>
          <w:szCs w:val="24"/>
        </w:rPr>
        <w:t>Journal</w:t>
      </w:r>
      <w:proofErr w:type="spellEnd"/>
      <w:r w:rsidRPr="00A224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2460">
        <w:rPr>
          <w:rFonts w:ascii="Times New Roman" w:hAnsi="Times New Roman"/>
          <w:b/>
          <w:sz w:val="24"/>
          <w:szCs w:val="24"/>
        </w:rPr>
        <w:t>of</w:t>
      </w:r>
      <w:proofErr w:type="spellEnd"/>
      <w:r w:rsidRPr="00A22460">
        <w:rPr>
          <w:rFonts w:ascii="Times New Roman" w:hAnsi="Times New Roman"/>
          <w:b/>
          <w:sz w:val="24"/>
          <w:szCs w:val="24"/>
        </w:rPr>
        <w:t xml:space="preserve"> Molecular </w:t>
      </w:r>
      <w:proofErr w:type="spellStart"/>
      <w:r w:rsidRPr="00A22460">
        <w:rPr>
          <w:rFonts w:ascii="Times New Roman" w:hAnsi="Times New Roman"/>
          <w:b/>
          <w:sz w:val="24"/>
          <w:szCs w:val="24"/>
        </w:rPr>
        <w:t>Sciences</w:t>
      </w:r>
      <w:proofErr w:type="spellEnd"/>
      <w:r w:rsidRPr="00A22460">
        <w:rPr>
          <w:rFonts w:ascii="Times New Roman" w:hAnsi="Times New Roman"/>
          <w:sz w:val="24"/>
          <w:szCs w:val="24"/>
        </w:rPr>
        <w:t>,</w:t>
      </w:r>
      <w:r w:rsidR="00DB1CE1" w:rsidRPr="00A22460">
        <w:rPr>
          <w:rFonts w:ascii="Times New Roman" w:hAnsi="Times New Roman"/>
          <w:sz w:val="24"/>
          <w:szCs w:val="24"/>
        </w:rPr>
        <w:t xml:space="preserve"> Basel,</w:t>
      </w:r>
      <w:r w:rsidRPr="00A22460">
        <w:rPr>
          <w:rFonts w:ascii="Times New Roman" w:hAnsi="Times New Roman"/>
          <w:sz w:val="24"/>
          <w:szCs w:val="24"/>
        </w:rPr>
        <w:t xml:space="preserve"> v. 18, n. 12, </w:t>
      </w:r>
      <w:proofErr w:type="spellStart"/>
      <w:r w:rsidR="00463EFF" w:rsidRPr="00A22460">
        <w:rPr>
          <w:rFonts w:ascii="Times New Roman" w:hAnsi="Times New Roman"/>
          <w:sz w:val="24"/>
          <w:szCs w:val="24"/>
        </w:rPr>
        <w:t>article</w:t>
      </w:r>
      <w:proofErr w:type="spellEnd"/>
      <w:r w:rsidRPr="00A22460">
        <w:rPr>
          <w:rFonts w:ascii="Times New Roman" w:hAnsi="Times New Roman"/>
          <w:sz w:val="24"/>
          <w:szCs w:val="24"/>
        </w:rPr>
        <w:t xml:space="preserve"> 2651, </w:t>
      </w:r>
      <w:r w:rsidR="00463EFF" w:rsidRPr="00A22460">
        <w:rPr>
          <w:rFonts w:ascii="Times New Roman" w:hAnsi="Times New Roman"/>
          <w:sz w:val="24"/>
          <w:szCs w:val="24"/>
        </w:rPr>
        <w:t xml:space="preserve">p. </w:t>
      </w:r>
      <w:r w:rsidR="00643ACC" w:rsidRPr="00A22460">
        <w:rPr>
          <w:rFonts w:ascii="Times New Roman" w:hAnsi="Times New Roman"/>
          <w:sz w:val="24"/>
          <w:szCs w:val="24"/>
        </w:rPr>
        <w:t>1</w:t>
      </w:r>
      <w:r w:rsidR="00463EFF" w:rsidRPr="00A22460">
        <w:rPr>
          <w:rFonts w:ascii="Times New Roman" w:hAnsi="Times New Roman"/>
          <w:sz w:val="24"/>
          <w:szCs w:val="24"/>
        </w:rPr>
        <w:t>-</w:t>
      </w:r>
      <w:r w:rsidR="00643ACC" w:rsidRPr="00A22460">
        <w:rPr>
          <w:rFonts w:ascii="Times New Roman" w:hAnsi="Times New Roman"/>
          <w:sz w:val="24"/>
          <w:szCs w:val="24"/>
        </w:rPr>
        <w:t>13</w:t>
      </w:r>
      <w:r w:rsidR="00463EFF" w:rsidRPr="00A22460">
        <w:rPr>
          <w:rFonts w:ascii="Times New Roman" w:hAnsi="Times New Roman"/>
          <w:sz w:val="24"/>
          <w:szCs w:val="24"/>
        </w:rPr>
        <w:t xml:space="preserve">, </w:t>
      </w:r>
      <w:r w:rsidRPr="00A22460">
        <w:rPr>
          <w:rFonts w:ascii="Times New Roman" w:hAnsi="Times New Roman"/>
          <w:sz w:val="24"/>
          <w:szCs w:val="24"/>
        </w:rPr>
        <w:t>2017.</w:t>
      </w:r>
    </w:p>
    <w:p w14:paraId="4A013598" w14:textId="77777777" w:rsidR="00A54333" w:rsidRPr="00A22460" w:rsidRDefault="00A54333" w:rsidP="00AA5D66">
      <w:pPr>
        <w:spacing w:after="0"/>
        <w:rPr>
          <w:rFonts w:ascii="Times New Roman" w:hAnsi="Times New Roman"/>
          <w:sz w:val="24"/>
          <w:szCs w:val="24"/>
        </w:rPr>
      </w:pPr>
    </w:p>
    <w:p w14:paraId="01CF48C6" w14:textId="299E1DE0" w:rsidR="0082005F" w:rsidRPr="00A22460" w:rsidRDefault="0082005F" w:rsidP="00AA5D66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22460">
        <w:rPr>
          <w:rFonts w:ascii="Times New Roman" w:hAnsi="Times New Roman"/>
          <w:sz w:val="24"/>
          <w:szCs w:val="24"/>
        </w:rPr>
        <w:t xml:space="preserve">TEIXEIRA, P. C.; DONAGEMMA, G. K.; FONTANA, A.; TEIXEIRA, W. G. </w:t>
      </w:r>
      <w:r w:rsidRPr="00A22460">
        <w:rPr>
          <w:rFonts w:ascii="Times New Roman" w:hAnsi="Times New Roman"/>
          <w:b/>
          <w:bCs/>
          <w:sz w:val="24"/>
          <w:szCs w:val="24"/>
        </w:rPr>
        <w:t>Manual de métodos de análise de solo</w:t>
      </w:r>
      <w:r w:rsidR="00DB1CE1" w:rsidRPr="00A22460">
        <w:rPr>
          <w:rFonts w:ascii="Times New Roman" w:hAnsi="Times New Roman"/>
          <w:sz w:val="24"/>
          <w:szCs w:val="24"/>
        </w:rPr>
        <w:t xml:space="preserve">. </w:t>
      </w:r>
      <w:r w:rsidR="00DB1CE1" w:rsidRPr="00A22460">
        <w:rPr>
          <w:rFonts w:ascii="Times New Roman" w:hAnsi="Times New Roman"/>
          <w:sz w:val="24"/>
          <w:szCs w:val="24"/>
          <w:lang w:val="en-US"/>
        </w:rPr>
        <w:t>3. ed.,</w:t>
      </w:r>
      <w:r w:rsidR="00DB1CE1" w:rsidRPr="00A22460">
        <w:rPr>
          <w:lang w:val="en-US"/>
        </w:rPr>
        <w:t xml:space="preserve"> </w:t>
      </w:r>
      <w:r w:rsidR="00DB1CE1" w:rsidRPr="00A22460">
        <w:rPr>
          <w:rFonts w:ascii="Times New Roman" w:hAnsi="Times New Roman"/>
          <w:sz w:val="24"/>
          <w:szCs w:val="24"/>
          <w:lang w:val="en-US"/>
        </w:rPr>
        <w:t>Brasília,</w:t>
      </w:r>
      <w:r w:rsidR="00463EFF" w:rsidRPr="00A22460">
        <w:rPr>
          <w:rFonts w:ascii="Times New Roman" w:hAnsi="Times New Roman"/>
          <w:sz w:val="24"/>
          <w:szCs w:val="24"/>
          <w:lang w:val="en-US"/>
        </w:rPr>
        <w:t xml:space="preserve"> DF: Embrapa,</w:t>
      </w:r>
      <w:r w:rsidR="00DB1CE1" w:rsidRPr="00A2246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2460">
        <w:rPr>
          <w:rFonts w:ascii="Times New Roman" w:hAnsi="Times New Roman"/>
          <w:sz w:val="24"/>
          <w:szCs w:val="24"/>
          <w:lang w:val="en-US"/>
        </w:rPr>
        <w:t>2017.</w:t>
      </w:r>
    </w:p>
    <w:p w14:paraId="358B22AE" w14:textId="563593A2" w:rsidR="00A54333" w:rsidRPr="00A22460" w:rsidRDefault="00A54333" w:rsidP="00AA5D66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082772A7" w14:textId="15AADCF3" w:rsidR="0082005F" w:rsidRPr="00A22460" w:rsidRDefault="0082005F" w:rsidP="00AA5D66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22460">
        <w:rPr>
          <w:rFonts w:ascii="Times New Roman" w:hAnsi="Times New Roman"/>
          <w:sz w:val="24"/>
          <w:szCs w:val="24"/>
          <w:lang w:val="en-US"/>
        </w:rPr>
        <w:t xml:space="preserve">TRAON, D.; AMAT, L.; ZOTZ, F.; DU JARDIN, P. </w:t>
      </w:r>
      <w:r w:rsidRPr="00A22460">
        <w:rPr>
          <w:rFonts w:ascii="Times New Roman" w:hAnsi="Times New Roman"/>
          <w:bCs/>
          <w:sz w:val="24"/>
          <w:szCs w:val="24"/>
          <w:lang w:val="en-US"/>
        </w:rPr>
        <w:t>A legal framework for plant</w:t>
      </w:r>
      <w:r w:rsidR="00B35C8E" w:rsidRPr="00A2246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A22460">
        <w:rPr>
          <w:rFonts w:ascii="Times New Roman" w:hAnsi="Times New Roman"/>
          <w:bCs/>
          <w:sz w:val="24"/>
          <w:szCs w:val="24"/>
          <w:lang w:val="en-US"/>
        </w:rPr>
        <w:t>biostimulants</w:t>
      </w:r>
      <w:proofErr w:type="spellEnd"/>
      <w:r w:rsidRPr="00A22460">
        <w:rPr>
          <w:rFonts w:ascii="Times New Roman" w:hAnsi="Times New Roman"/>
          <w:bCs/>
          <w:sz w:val="24"/>
          <w:szCs w:val="24"/>
          <w:lang w:val="en-US"/>
        </w:rPr>
        <w:t xml:space="preserve"> and agronomic fertilizer additives in the EU</w:t>
      </w:r>
      <w:r w:rsidRPr="00A22460">
        <w:rPr>
          <w:rFonts w:ascii="Times New Roman" w:hAnsi="Times New Roman"/>
          <w:sz w:val="24"/>
          <w:szCs w:val="24"/>
          <w:lang w:val="en-US"/>
        </w:rPr>
        <w:t>.</w:t>
      </w:r>
      <w:r w:rsidR="00643ACC" w:rsidRPr="00A2246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43ACC" w:rsidRPr="00EC3CBE">
        <w:rPr>
          <w:rFonts w:ascii="Times New Roman" w:hAnsi="Times New Roman"/>
          <w:i/>
          <w:iCs/>
          <w:sz w:val="24"/>
          <w:szCs w:val="24"/>
          <w:lang w:val="en-US"/>
        </w:rPr>
        <w:t>In</w:t>
      </w:r>
      <w:r w:rsidR="00643ACC" w:rsidRPr="00A22460">
        <w:rPr>
          <w:rFonts w:ascii="Times New Roman" w:hAnsi="Times New Roman"/>
          <w:sz w:val="24"/>
          <w:szCs w:val="24"/>
          <w:lang w:val="en-US"/>
        </w:rPr>
        <w:t>:</w:t>
      </w:r>
      <w:r w:rsidRPr="00A2246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43ACC" w:rsidRPr="00A22460">
        <w:rPr>
          <w:rFonts w:ascii="Times New Roman" w:hAnsi="Times New Roman"/>
          <w:sz w:val="24"/>
          <w:szCs w:val="24"/>
          <w:lang w:val="en-US"/>
        </w:rPr>
        <w:t xml:space="preserve">ARCADIA. </w:t>
      </w:r>
      <w:r w:rsidRPr="00A22460">
        <w:rPr>
          <w:rFonts w:ascii="Times New Roman" w:hAnsi="Times New Roman"/>
          <w:b/>
          <w:bCs/>
          <w:sz w:val="24"/>
          <w:szCs w:val="24"/>
          <w:lang w:val="en-US"/>
        </w:rPr>
        <w:t>Report for the European Commission, Enterprise &amp; Industry Directorate – General</w:t>
      </w:r>
      <w:r w:rsidR="00643ACC" w:rsidRPr="00A22460">
        <w:rPr>
          <w:rFonts w:ascii="Times New Roman" w:hAnsi="Times New Roman"/>
          <w:sz w:val="24"/>
          <w:szCs w:val="24"/>
          <w:lang w:val="en-US"/>
        </w:rPr>
        <w:t>.</w:t>
      </w:r>
      <w:r w:rsidR="00C11480" w:rsidRPr="00A2246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C3CBE" w:rsidRPr="00A22460">
        <w:rPr>
          <w:rFonts w:ascii="Times New Roman" w:hAnsi="Times New Roman"/>
          <w:sz w:val="24"/>
          <w:szCs w:val="24"/>
          <w:lang w:val="en-US"/>
        </w:rPr>
        <w:t>Bruxelas</w:t>
      </w:r>
      <w:proofErr w:type="spellEnd"/>
      <w:r w:rsidR="00EC3CBE">
        <w:rPr>
          <w:rFonts w:ascii="Times New Roman" w:hAnsi="Times New Roman"/>
          <w:sz w:val="24"/>
          <w:szCs w:val="24"/>
          <w:lang w:val="en-US"/>
        </w:rPr>
        <w:t>:</w:t>
      </w:r>
      <w:r w:rsidR="00EC3CBE" w:rsidRPr="00A2246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11480" w:rsidRPr="00A22460">
        <w:rPr>
          <w:rFonts w:ascii="Times New Roman" w:hAnsi="Times New Roman"/>
          <w:sz w:val="24"/>
          <w:szCs w:val="24"/>
          <w:lang w:val="en-US"/>
        </w:rPr>
        <w:t>Editora</w:t>
      </w:r>
      <w:proofErr w:type="spellEnd"/>
      <w:r w:rsidR="00DB1CE1" w:rsidRPr="00A22460">
        <w:rPr>
          <w:rFonts w:ascii="Times New Roman" w:hAnsi="Times New Roman"/>
          <w:sz w:val="24"/>
          <w:szCs w:val="24"/>
          <w:lang w:val="en-US"/>
        </w:rPr>
        <w:t xml:space="preserve"> Arcadia International,</w:t>
      </w:r>
      <w:r w:rsidR="00EC3CBE">
        <w:rPr>
          <w:rFonts w:ascii="Times New Roman" w:hAnsi="Times New Roman"/>
          <w:sz w:val="24"/>
          <w:szCs w:val="24"/>
          <w:lang w:val="en-US"/>
        </w:rPr>
        <w:t xml:space="preserve"> 2014. </w:t>
      </w:r>
      <w:r w:rsidR="00DB1CE1" w:rsidRPr="00A22460">
        <w:rPr>
          <w:rFonts w:ascii="Times New Roman" w:hAnsi="Times New Roman"/>
          <w:sz w:val="24"/>
          <w:szCs w:val="24"/>
          <w:lang w:val="en-US"/>
        </w:rPr>
        <w:t>p.</w:t>
      </w:r>
      <w:r w:rsidR="00EC3CB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B1CE1" w:rsidRPr="00A22460">
        <w:rPr>
          <w:rFonts w:ascii="Times New Roman" w:hAnsi="Times New Roman"/>
          <w:sz w:val="24"/>
          <w:szCs w:val="24"/>
          <w:lang w:val="en-US"/>
        </w:rPr>
        <w:t>1-133</w:t>
      </w:r>
      <w:r w:rsidR="00EC3CBE">
        <w:rPr>
          <w:rFonts w:ascii="Times New Roman" w:hAnsi="Times New Roman"/>
          <w:sz w:val="24"/>
          <w:szCs w:val="24"/>
          <w:lang w:val="en-US"/>
        </w:rPr>
        <w:t>.</w:t>
      </w:r>
      <w:r w:rsidRPr="00A2246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564867B6" w14:textId="77777777" w:rsidR="00A54333" w:rsidRPr="00A22460" w:rsidRDefault="00A54333" w:rsidP="00AA5D66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283D28D0" w14:textId="7A483EEB" w:rsidR="0082005F" w:rsidRPr="00A22460" w:rsidRDefault="0082005F" w:rsidP="00AA5D66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22460">
        <w:rPr>
          <w:rFonts w:ascii="Times New Roman" w:hAnsi="Times New Roman"/>
          <w:sz w:val="24"/>
          <w:szCs w:val="24"/>
          <w:lang w:val="en-US"/>
        </w:rPr>
        <w:t xml:space="preserve">VURUKONDA, S. S. K. P.; VARDHARAJULA, S.; SHRIVASTAVA, M.; SKZ, A. Enhancement of drought stress tolerance in crops by plant growth promoting rhizobacteria. </w:t>
      </w:r>
      <w:r w:rsidRPr="00A22460">
        <w:rPr>
          <w:rFonts w:ascii="Times New Roman" w:hAnsi="Times New Roman"/>
          <w:b/>
          <w:sz w:val="24"/>
          <w:szCs w:val="24"/>
          <w:lang w:val="en-US"/>
        </w:rPr>
        <w:t>Microbiological research,</w:t>
      </w:r>
      <w:r w:rsidRPr="00A2246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B1CE1" w:rsidRPr="00A22460">
        <w:rPr>
          <w:rFonts w:ascii="Times New Roman" w:hAnsi="Times New Roman"/>
          <w:sz w:val="24"/>
          <w:szCs w:val="24"/>
          <w:lang w:val="en-US"/>
        </w:rPr>
        <w:t xml:space="preserve">Amsterdam, </w:t>
      </w:r>
      <w:r w:rsidRPr="00A22460">
        <w:rPr>
          <w:rFonts w:ascii="Times New Roman" w:hAnsi="Times New Roman"/>
          <w:sz w:val="24"/>
          <w:szCs w:val="24"/>
          <w:lang w:val="en-US"/>
        </w:rPr>
        <w:t>v. 184, p. 13-24, 2016.</w:t>
      </w:r>
    </w:p>
    <w:p w14:paraId="7B2621AF" w14:textId="77777777" w:rsidR="00A54333" w:rsidRPr="00A22460" w:rsidRDefault="00A54333" w:rsidP="00AA5D66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4D5374D3" w14:textId="550CD24C" w:rsidR="0082005F" w:rsidRPr="00A22460" w:rsidRDefault="0082005F" w:rsidP="00AA5D66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22460">
        <w:rPr>
          <w:rFonts w:ascii="Times New Roman" w:hAnsi="Times New Roman"/>
          <w:sz w:val="24"/>
          <w:szCs w:val="24"/>
          <w:lang w:val="en-US"/>
        </w:rPr>
        <w:t xml:space="preserve">WU, X.; YUAN, J.; LUO, A.; CHEN, Y.; FAN, Y. Drought stress and re-watering increase secondary metabolites and enzyme activity in dendrobium </w:t>
      </w:r>
      <w:proofErr w:type="spellStart"/>
      <w:r w:rsidRPr="00A22460">
        <w:rPr>
          <w:rFonts w:ascii="Times New Roman" w:hAnsi="Times New Roman"/>
          <w:sz w:val="24"/>
          <w:szCs w:val="24"/>
          <w:lang w:val="en-US"/>
        </w:rPr>
        <w:t>moniliforme</w:t>
      </w:r>
      <w:proofErr w:type="spellEnd"/>
      <w:r w:rsidRPr="00A22460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A22460">
        <w:rPr>
          <w:rFonts w:ascii="Times New Roman" w:hAnsi="Times New Roman"/>
          <w:b/>
          <w:sz w:val="24"/>
          <w:szCs w:val="24"/>
          <w:lang w:val="en-US"/>
        </w:rPr>
        <w:t>Industrial Crops and Products</w:t>
      </w:r>
      <w:r w:rsidRPr="00A22460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DB1CE1" w:rsidRPr="00A22460">
        <w:rPr>
          <w:rFonts w:ascii="Times New Roman" w:hAnsi="Times New Roman"/>
          <w:sz w:val="24"/>
          <w:szCs w:val="24"/>
          <w:lang w:val="en-US"/>
        </w:rPr>
        <w:t xml:space="preserve">Amsterdam, </w:t>
      </w:r>
      <w:r w:rsidRPr="00A22460">
        <w:rPr>
          <w:rFonts w:ascii="Times New Roman" w:hAnsi="Times New Roman"/>
          <w:sz w:val="24"/>
          <w:szCs w:val="24"/>
          <w:lang w:val="en-US"/>
        </w:rPr>
        <w:t>v. 94, p. 385-393, 2016.</w:t>
      </w:r>
    </w:p>
    <w:p w14:paraId="14703D7E" w14:textId="77777777" w:rsidR="00A54333" w:rsidRPr="00A22460" w:rsidRDefault="00A54333" w:rsidP="00AA5D66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13637B6D" w14:textId="77777777" w:rsidR="000A312E" w:rsidRDefault="0082005F" w:rsidP="00AA5D66">
      <w:pPr>
        <w:spacing w:after="0"/>
        <w:rPr>
          <w:rFonts w:ascii="Times New Roman" w:hAnsi="Times New Roman"/>
          <w:sz w:val="24"/>
          <w:szCs w:val="24"/>
          <w:lang w:val="en-US"/>
        </w:rPr>
        <w:sectPr w:rsidR="000A312E" w:rsidSect="00665729">
          <w:headerReference w:type="first" r:id="rId19"/>
          <w:type w:val="continuous"/>
          <w:pgSz w:w="11906" w:h="16838"/>
          <w:pgMar w:top="1701" w:right="1134" w:bottom="1701" w:left="1701" w:header="709" w:footer="709" w:gutter="0"/>
          <w:cols w:num="2" w:space="567"/>
          <w:titlePg/>
          <w:docGrid w:linePitch="360"/>
        </w:sectPr>
      </w:pPr>
      <w:r w:rsidRPr="00A22460">
        <w:rPr>
          <w:rFonts w:ascii="Times New Roman" w:hAnsi="Times New Roman"/>
          <w:sz w:val="24"/>
          <w:szCs w:val="24"/>
          <w:lang w:val="en-US"/>
        </w:rPr>
        <w:t xml:space="preserve">YAKHIN, O. I.; LUBYANOV, A. A.; YAKHIN, I. A.; BROWN, P. H. </w:t>
      </w:r>
      <w:proofErr w:type="spellStart"/>
      <w:r w:rsidRPr="00A22460">
        <w:rPr>
          <w:rFonts w:ascii="Times New Roman" w:hAnsi="Times New Roman"/>
          <w:sz w:val="24"/>
          <w:szCs w:val="24"/>
          <w:lang w:val="en-US"/>
        </w:rPr>
        <w:t>Biostimulants</w:t>
      </w:r>
      <w:proofErr w:type="spellEnd"/>
      <w:r w:rsidRPr="00A22460">
        <w:rPr>
          <w:rFonts w:ascii="Times New Roman" w:hAnsi="Times New Roman"/>
          <w:sz w:val="24"/>
          <w:szCs w:val="24"/>
          <w:lang w:val="en-US"/>
        </w:rPr>
        <w:t xml:space="preserve"> in plant science: a global perspective. </w:t>
      </w:r>
      <w:r w:rsidRPr="00A22460">
        <w:rPr>
          <w:rFonts w:ascii="Times New Roman" w:hAnsi="Times New Roman"/>
          <w:b/>
          <w:sz w:val="24"/>
          <w:szCs w:val="24"/>
          <w:lang w:val="en-US"/>
        </w:rPr>
        <w:t>Frontiers in plant science</w:t>
      </w:r>
      <w:r w:rsidRPr="00A22460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DB1CE1" w:rsidRPr="00A22460">
        <w:rPr>
          <w:rFonts w:ascii="Times New Roman" w:hAnsi="Times New Roman"/>
          <w:sz w:val="24"/>
          <w:szCs w:val="24"/>
          <w:lang w:val="en-US"/>
        </w:rPr>
        <w:t xml:space="preserve">Lausanne, </w:t>
      </w:r>
      <w:r w:rsidRPr="00A22460">
        <w:rPr>
          <w:rFonts w:ascii="Times New Roman" w:hAnsi="Times New Roman"/>
          <w:sz w:val="24"/>
          <w:szCs w:val="24"/>
          <w:lang w:val="en-US"/>
        </w:rPr>
        <w:t xml:space="preserve">v. 7, </w:t>
      </w:r>
      <w:r w:rsidR="00463EFF" w:rsidRPr="00A22460">
        <w:rPr>
          <w:rFonts w:ascii="Times New Roman" w:hAnsi="Times New Roman"/>
          <w:sz w:val="24"/>
          <w:szCs w:val="24"/>
          <w:lang w:val="en-US"/>
        </w:rPr>
        <w:t>article</w:t>
      </w:r>
      <w:r w:rsidRPr="00A22460">
        <w:rPr>
          <w:rFonts w:ascii="Times New Roman" w:hAnsi="Times New Roman"/>
          <w:sz w:val="24"/>
          <w:szCs w:val="24"/>
          <w:lang w:val="en-US"/>
        </w:rPr>
        <w:t xml:space="preserve"> 2049, </w:t>
      </w:r>
      <w:r w:rsidR="00463EFF" w:rsidRPr="00A22460">
        <w:rPr>
          <w:rFonts w:ascii="Times New Roman" w:hAnsi="Times New Roman"/>
          <w:sz w:val="24"/>
          <w:szCs w:val="24"/>
        </w:rPr>
        <w:t xml:space="preserve">p. </w:t>
      </w:r>
      <w:r w:rsidR="00643ACC" w:rsidRPr="00A22460">
        <w:rPr>
          <w:rFonts w:ascii="Times New Roman" w:hAnsi="Times New Roman"/>
          <w:sz w:val="24"/>
          <w:szCs w:val="24"/>
        </w:rPr>
        <w:t>1-32</w:t>
      </w:r>
      <w:r w:rsidR="00463EFF" w:rsidRPr="00A22460">
        <w:rPr>
          <w:rFonts w:ascii="Times New Roman" w:hAnsi="Times New Roman"/>
          <w:sz w:val="24"/>
          <w:szCs w:val="24"/>
        </w:rPr>
        <w:t xml:space="preserve">, </w:t>
      </w:r>
      <w:r w:rsidRPr="00A22460">
        <w:rPr>
          <w:rFonts w:ascii="Times New Roman" w:hAnsi="Times New Roman"/>
          <w:sz w:val="24"/>
          <w:szCs w:val="24"/>
          <w:lang w:val="en-US"/>
        </w:rPr>
        <w:t>2017.</w:t>
      </w:r>
    </w:p>
    <w:p w14:paraId="06909F8F" w14:textId="53BCF72E" w:rsidR="000C4F6E" w:rsidRPr="00A22460" w:rsidRDefault="000C4F6E" w:rsidP="00AA5D66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sectPr w:rsidR="000C4F6E" w:rsidRPr="00A22460" w:rsidSect="000A312E">
      <w:type w:val="continuous"/>
      <w:pgSz w:w="11906" w:h="16838"/>
      <w:pgMar w:top="1701" w:right="1134" w:bottom="170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E28A1" w14:textId="77777777" w:rsidR="00C65FFF" w:rsidRDefault="00C65FFF">
      <w:pPr>
        <w:spacing w:after="0"/>
      </w:pPr>
      <w:r>
        <w:separator/>
      </w:r>
    </w:p>
  </w:endnote>
  <w:endnote w:type="continuationSeparator" w:id="0">
    <w:p w14:paraId="6DE26114" w14:textId="77777777" w:rsidR="00C65FFF" w:rsidRDefault="00C65F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81BF7" w14:textId="16B8BB07" w:rsidR="00665729" w:rsidRDefault="00665729" w:rsidP="00665729">
    <w:pPr>
      <w:pStyle w:val="Rodap"/>
      <w:jc w:val="right"/>
    </w:pPr>
    <w:proofErr w:type="spellStart"/>
    <w:r w:rsidRPr="00665729">
      <w:rPr>
        <w:rFonts w:ascii="Times New Roman" w:eastAsia="Times New Roman" w:hAnsi="Times New Roman" w:cs="Arial"/>
        <w:sz w:val="19"/>
        <w:lang w:val="en-GB"/>
      </w:rPr>
      <w:t>Irriga</w:t>
    </w:r>
    <w:proofErr w:type="spellEnd"/>
    <w:r w:rsidRPr="00665729">
      <w:rPr>
        <w:rFonts w:ascii="Times New Roman" w:eastAsia="Times New Roman" w:hAnsi="Times New Roman" w:cs="Arial"/>
        <w:sz w:val="19"/>
        <w:lang w:val="en-GB"/>
      </w:rPr>
      <w:t xml:space="preserve">, </w:t>
    </w:r>
    <w:proofErr w:type="spellStart"/>
    <w:r w:rsidRPr="00665729">
      <w:rPr>
        <w:rFonts w:ascii="Times New Roman" w:eastAsia="Times New Roman" w:hAnsi="Times New Roman" w:cs="Arial"/>
        <w:sz w:val="19"/>
        <w:lang w:val="en-GB"/>
      </w:rPr>
      <w:t>Botucatu</w:t>
    </w:r>
    <w:proofErr w:type="spellEnd"/>
    <w:r w:rsidRPr="00665729">
      <w:rPr>
        <w:rFonts w:ascii="Times New Roman" w:eastAsia="Times New Roman" w:hAnsi="Times New Roman" w:cs="Arial"/>
        <w:sz w:val="19"/>
        <w:lang w:val="en-GB"/>
      </w:rPr>
      <w:t>, v. 29, p. 3</w:t>
    </w:r>
    <w:r>
      <w:rPr>
        <w:rFonts w:ascii="Times New Roman" w:eastAsia="Times New Roman" w:hAnsi="Times New Roman" w:cs="Arial"/>
        <w:sz w:val="19"/>
        <w:lang w:val="en-GB"/>
      </w:rPr>
      <w:t>68-381</w:t>
    </w:r>
    <w:r w:rsidRPr="00665729">
      <w:rPr>
        <w:rFonts w:ascii="Times New Roman" w:eastAsia="Times New Roman" w:hAnsi="Times New Roman" w:cs="Arial"/>
        <w:sz w:val="19"/>
        <w:lang w:val="en-GB"/>
      </w:rPr>
      <w:t xml:space="preserve">, </w:t>
    </w:r>
    <w:proofErr w:type="spellStart"/>
    <w:r w:rsidRPr="00665729">
      <w:rPr>
        <w:rFonts w:ascii="Times New Roman" w:eastAsia="Times New Roman" w:hAnsi="Times New Roman" w:cs="Arial"/>
        <w:sz w:val="19"/>
        <w:lang w:val="en-GB"/>
      </w:rPr>
      <w:t>janeiro-dezembro</w:t>
    </w:r>
    <w:proofErr w:type="spellEnd"/>
    <w:r w:rsidRPr="00665729">
      <w:rPr>
        <w:rFonts w:ascii="Times New Roman" w:eastAsia="Times New Roman" w:hAnsi="Times New Roman" w:cs="Arial"/>
        <w:sz w:val="19"/>
        <w:lang w:val="en-GB"/>
      </w:rPr>
      <w:t>,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B2338" w14:textId="3C8A0E7C" w:rsidR="00665729" w:rsidRDefault="00665729" w:rsidP="00665729">
    <w:pPr>
      <w:pStyle w:val="Rodap"/>
      <w:jc w:val="right"/>
    </w:pPr>
    <w:bookmarkStart w:id="2" w:name="_Hlk229407544"/>
    <w:bookmarkStart w:id="3" w:name="_Hlk229407545"/>
    <w:bookmarkStart w:id="4" w:name="_Hlk229407547"/>
    <w:bookmarkStart w:id="5" w:name="_Hlk229407548"/>
    <w:proofErr w:type="spellStart"/>
    <w:r w:rsidRPr="00665729">
      <w:rPr>
        <w:rFonts w:ascii="Times New Roman" w:eastAsia="Times New Roman" w:hAnsi="Times New Roman" w:cs="Arial"/>
        <w:sz w:val="19"/>
        <w:lang w:val="en-GB"/>
      </w:rPr>
      <w:t>Irriga</w:t>
    </w:r>
    <w:proofErr w:type="spellEnd"/>
    <w:r w:rsidRPr="00665729">
      <w:rPr>
        <w:rFonts w:ascii="Times New Roman" w:eastAsia="Times New Roman" w:hAnsi="Times New Roman" w:cs="Arial"/>
        <w:sz w:val="19"/>
        <w:lang w:val="en-GB"/>
      </w:rPr>
      <w:t xml:space="preserve">, </w:t>
    </w:r>
    <w:proofErr w:type="spellStart"/>
    <w:r w:rsidRPr="00665729">
      <w:rPr>
        <w:rFonts w:ascii="Times New Roman" w:eastAsia="Times New Roman" w:hAnsi="Times New Roman" w:cs="Arial"/>
        <w:sz w:val="19"/>
        <w:lang w:val="en-GB"/>
      </w:rPr>
      <w:t>Botucatu</w:t>
    </w:r>
    <w:proofErr w:type="spellEnd"/>
    <w:r w:rsidRPr="00665729">
      <w:rPr>
        <w:rFonts w:ascii="Times New Roman" w:eastAsia="Times New Roman" w:hAnsi="Times New Roman" w:cs="Arial"/>
        <w:sz w:val="19"/>
        <w:lang w:val="en-GB"/>
      </w:rPr>
      <w:t>, v. 29, p. 3</w:t>
    </w:r>
    <w:r>
      <w:rPr>
        <w:rFonts w:ascii="Times New Roman" w:eastAsia="Times New Roman" w:hAnsi="Times New Roman" w:cs="Arial"/>
        <w:sz w:val="19"/>
        <w:lang w:val="en-GB"/>
      </w:rPr>
      <w:t>68-381</w:t>
    </w:r>
    <w:r w:rsidRPr="00665729">
      <w:rPr>
        <w:rFonts w:ascii="Times New Roman" w:eastAsia="Times New Roman" w:hAnsi="Times New Roman" w:cs="Arial"/>
        <w:sz w:val="19"/>
        <w:lang w:val="en-GB"/>
      </w:rPr>
      <w:t xml:space="preserve">, </w:t>
    </w:r>
    <w:proofErr w:type="spellStart"/>
    <w:r w:rsidRPr="00665729">
      <w:rPr>
        <w:rFonts w:ascii="Times New Roman" w:eastAsia="Times New Roman" w:hAnsi="Times New Roman" w:cs="Arial"/>
        <w:sz w:val="19"/>
        <w:lang w:val="en-GB"/>
      </w:rPr>
      <w:t>janeiro-dezembro</w:t>
    </w:r>
    <w:proofErr w:type="spellEnd"/>
    <w:r w:rsidRPr="00665729">
      <w:rPr>
        <w:rFonts w:ascii="Times New Roman" w:eastAsia="Times New Roman" w:hAnsi="Times New Roman" w:cs="Arial"/>
        <w:sz w:val="19"/>
        <w:lang w:val="en-GB"/>
      </w:rPr>
      <w:t>, 2024</w:t>
    </w:r>
    <w:bookmarkEnd w:id="2"/>
    <w:bookmarkEnd w:id="3"/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CBF6E" w14:textId="6713FC5A" w:rsidR="00665729" w:rsidRPr="00665729" w:rsidRDefault="00665729" w:rsidP="00665729">
    <w:pPr>
      <w:tabs>
        <w:tab w:val="center" w:pos="4252"/>
        <w:tab w:val="right" w:pos="8504"/>
      </w:tabs>
      <w:spacing w:after="0"/>
      <w:rPr>
        <w:rFonts w:ascii="Times New Roman" w:eastAsia="Times New Roman" w:hAnsi="Times New Roman"/>
        <w:sz w:val="19"/>
        <w:szCs w:val="24"/>
        <w:lang w:eastAsia="pt-BR"/>
      </w:rPr>
    </w:pPr>
    <w:bookmarkStart w:id="6" w:name="_Hlk192240669"/>
    <w:bookmarkStart w:id="7" w:name="_Hlk192240670"/>
    <w:bookmarkStart w:id="8" w:name="_Hlk193701619"/>
    <w:bookmarkStart w:id="9" w:name="_Hlk193701620"/>
    <w:bookmarkStart w:id="10" w:name="_Hlk195020653"/>
    <w:bookmarkStart w:id="11" w:name="_Hlk195020654"/>
    <w:bookmarkStart w:id="12" w:name="_Hlk211242046"/>
    <w:bookmarkStart w:id="13" w:name="_Hlk211242047"/>
    <w:bookmarkStart w:id="14" w:name="_Hlk211250555"/>
    <w:bookmarkStart w:id="15" w:name="_Hlk211250556"/>
    <w:bookmarkStart w:id="16" w:name="_Hlk229407533"/>
    <w:bookmarkStart w:id="17" w:name="_Hlk229407534"/>
    <w:r w:rsidRPr="00665729">
      <w:rPr>
        <w:rFonts w:ascii="Times New Roman" w:eastAsia="Times New Roman" w:hAnsi="Times New Roman"/>
        <w:sz w:val="19"/>
        <w:szCs w:val="24"/>
        <w:lang w:eastAsia="pt-BR"/>
      </w:rPr>
      <w:t>Recebido em 1</w:t>
    </w:r>
    <w:r>
      <w:rPr>
        <w:rFonts w:ascii="Times New Roman" w:eastAsia="Times New Roman" w:hAnsi="Times New Roman"/>
        <w:sz w:val="19"/>
        <w:szCs w:val="24"/>
        <w:lang w:eastAsia="pt-BR"/>
      </w:rPr>
      <w:t>3</w:t>
    </w:r>
    <w:r w:rsidRPr="00665729">
      <w:rPr>
        <w:rFonts w:ascii="Times New Roman" w:eastAsia="Times New Roman" w:hAnsi="Times New Roman"/>
        <w:sz w:val="19"/>
        <w:szCs w:val="24"/>
        <w:lang w:eastAsia="pt-BR"/>
      </w:rPr>
      <w:t xml:space="preserve">/06/2024 e aprovado para publicação em </w:t>
    </w:r>
    <w:r>
      <w:rPr>
        <w:rFonts w:ascii="Times New Roman" w:eastAsia="Times New Roman" w:hAnsi="Times New Roman"/>
        <w:sz w:val="19"/>
        <w:szCs w:val="24"/>
        <w:lang w:eastAsia="pt-BR"/>
      </w:rPr>
      <w:t>05</w:t>
    </w:r>
    <w:r w:rsidRPr="00665729">
      <w:rPr>
        <w:rFonts w:ascii="Times New Roman" w:eastAsia="Times New Roman" w:hAnsi="Times New Roman"/>
        <w:sz w:val="19"/>
        <w:szCs w:val="24"/>
        <w:lang w:eastAsia="pt-BR"/>
      </w:rPr>
      <w:t>/0</w:t>
    </w:r>
    <w:r>
      <w:rPr>
        <w:rFonts w:ascii="Times New Roman" w:eastAsia="Times New Roman" w:hAnsi="Times New Roman"/>
        <w:sz w:val="19"/>
        <w:szCs w:val="24"/>
        <w:lang w:eastAsia="pt-BR"/>
      </w:rPr>
      <w:t>7</w:t>
    </w:r>
    <w:r w:rsidRPr="00665729">
      <w:rPr>
        <w:rFonts w:ascii="Times New Roman" w:eastAsia="Times New Roman" w:hAnsi="Times New Roman"/>
        <w:sz w:val="19"/>
        <w:szCs w:val="24"/>
        <w:lang w:eastAsia="pt-BR"/>
      </w:rPr>
      <w:t>/2024</w:t>
    </w:r>
  </w:p>
  <w:p w14:paraId="42E5D427" w14:textId="701BFC03" w:rsidR="00665729" w:rsidRPr="00665729" w:rsidRDefault="00665729" w:rsidP="00665729">
    <w:pPr>
      <w:tabs>
        <w:tab w:val="center" w:pos="4252"/>
        <w:tab w:val="right" w:pos="8504"/>
      </w:tabs>
      <w:spacing w:after="0"/>
      <w:rPr>
        <w:rFonts w:ascii="Times New Roman" w:eastAsia="Times New Roman" w:hAnsi="Times New Roman"/>
        <w:sz w:val="24"/>
        <w:szCs w:val="24"/>
        <w:lang w:eastAsia="pt-BR"/>
      </w:rPr>
    </w:pPr>
    <w:r w:rsidRPr="00665729">
      <w:rPr>
        <w:rFonts w:ascii="Times New Roman" w:eastAsia="Times New Roman" w:hAnsi="Times New Roman"/>
        <w:sz w:val="19"/>
        <w:szCs w:val="24"/>
        <w:lang w:eastAsia="pt-BR"/>
      </w:rPr>
      <w:t>DOI: http://dx.doi.org/10.15809/irriga.2024v29p</w:t>
    </w:r>
    <w:bookmarkEnd w:id="6"/>
    <w:bookmarkEnd w:id="7"/>
    <w:bookmarkEnd w:id="8"/>
    <w:bookmarkEnd w:id="9"/>
    <w:bookmarkEnd w:id="10"/>
    <w:bookmarkEnd w:id="11"/>
    <w:r w:rsidRPr="00665729">
      <w:rPr>
        <w:rFonts w:ascii="Times New Roman" w:eastAsia="Times New Roman" w:hAnsi="Times New Roman"/>
        <w:sz w:val="19"/>
        <w:szCs w:val="24"/>
        <w:lang w:eastAsia="pt-BR"/>
      </w:rPr>
      <w:t>3</w:t>
    </w:r>
    <w:bookmarkEnd w:id="12"/>
    <w:bookmarkEnd w:id="13"/>
    <w:bookmarkEnd w:id="14"/>
    <w:bookmarkEnd w:id="15"/>
    <w:r>
      <w:rPr>
        <w:rFonts w:ascii="Times New Roman" w:eastAsia="Times New Roman" w:hAnsi="Times New Roman"/>
        <w:sz w:val="19"/>
        <w:szCs w:val="24"/>
        <w:lang w:eastAsia="pt-BR"/>
      </w:rPr>
      <w:t>68-381</w:t>
    </w:r>
    <w:bookmarkEnd w:id="16"/>
    <w:bookmarkEnd w:id="17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83548" w14:textId="5A771EC1" w:rsidR="00665729" w:rsidRPr="00665729" w:rsidRDefault="00665729" w:rsidP="00665729">
    <w:pPr>
      <w:pStyle w:val="Rodap"/>
      <w:jc w:val="right"/>
    </w:pPr>
    <w:proofErr w:type="spellStart"/>
    <w:r w:rsidRPr="00665729">
      <w:rPr>
        <w:rFonts w:ascii="Times New Roman" w:eastAsia="Times New Roman" w:hAnsi="Times New Roman" w:cs="Arial"/>
        <w:sz w:val="19"/>
        <w:lang w:val="en-GB"/>
      </w:rPr>
      <w:t>Irriga</w:t>
    </w:r>
    <w:proofErr w:type="spellEnd"/>
    <w:r w:rsidRPr="00665729">
      <w:rPr>
        <w:rFonts w:ascii="Times New Roman" w:eastAsia="Times New Roman" w:hAnsi="Times New Roman" w:cs="Arial"/>
        <w:sz w:val="19"/>
        <w:lang w:val="en-GB"/>
      </w:rPr>
      <w:t xml:space="preserve">, </w:t>
    </w:r>
    <w:proofErr w:type="spellStart"/>
    <w:r w:rsidRPr="00665729">
      <w:rPr>
        <w:rFonts w:ascii="Times New Roman" w:eastAsia="Times New Roman" w:hAnsi="Times New Roman" w:cs="Arial"/>
        <w:sz w:val="19"/>
        <w:lang w:val="en-GB"/>
      </w:rPr>
      <w:t>Botucatu</w:t>
    </w:r>
    <w:proofErr w:type="spellEnd"/>
    <w:r w:rsidRPr="00665729">
      <w:rPr>
        <w:rFonts w:ascii="Times New Roman" w:eastAsia="Times New Roman" w:hAnsi="Times New Roman" w:cs="Arial"/>
        <w:sz w:val="19"/>
        <w:lang w:val="en-GB"/>
      </w:rPr>
      <w:t>, v. 29, p. 3</w:t>
    </w:r>
    <w:r>
      <w:rPr>
        <w:rFonts w:ascii="Times New Roman" w:eastAsia="Times New Roman" w:hAnsi="Times New Roman" w:cs="Arial"/>
        <w:sz w:val="19"/>
        <w:lang w:val="en-GB"/>
      </w:rPr>
      <w:t>68-381</w:t>
    </w:r>
    <w:r w:rsidRPr="00665729">
      <w:rPr>
        <w:rFonts w:ascii="Times New Roman" w:eastAsia="Times New Roman" w:hAnsi="Times New Roman" w:cs="Arial"/>
        <w:sz w:val="19"/>
        <w:lang w:val="en-GB"/>
      </w:rPr>
      <w:t xml:space="preserve">, </w:t>
    </w:r>
    <w:proofErr w:type="spellStart"/>
    <w:r w:rsidRPr="00665729">
      <w:rPr>
        <w:rFonts w:ascii="Times New Roman" w:eastAsia="Times New Roman" w:hAnsi="Times New Roman" w:cs="Arial"/>
        <w:sz w:val="19"/>
        <w:lang w:val="en-GB"/>
      </w:rPr>
      <w:t>janeiro-dezembro</w:t>
    </w:r>
    <w:proofErr w:type="spellEnd"/>
    <w:r w:rsidRPr="00665729">
      <w:rPr>
        <w:rFonts w:ascii="Times New Roman" w:eastAsia="Times New Roman" w:hAnsi="Times New Roman" w:cs="Arial"/>
        <w:sz w:val="19"/>
        <w:lang w:val="en-GB"/>
      </w:rPr>
      <w:t>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DFB51" w14:textId="77777777" w:rsidR="00C65FFF" w:rsidRDefault="00C65FFF">
      <w:pPr>
        <w:spacing w:after="0"/>
      </w:pPr>
      <w:r>
        <w:separator/>
      </w:r>
    </w:p>
  </w:footnote>
  <w:footnote w:type="continuationSeparator" w:id="0">
    <w:p w14:paraId="2B9FB197" w14:textId="77777777" w:rsidR="00C65FFF" w:rsidRDefault="00C65F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3836C" w14:textId="65828326" w:rsidR="00665729" w:rsidRPr="00665729" w:rsidRDefault="00665729" w:rsidP="00665729">
    <w:pPr>
      <w:tabs>
        <w:tab w:val="center" w:pos="4252"/>
        <w:tab w:val="right" w:pos="8504"/>
      </w:tabs>
      <w:spacing w:after="0"/>
      <w:jc w:val="both"/>
      <w:rPr>
        <w:rFonts w:ascii="Times New Roman" w:eastAsia="Times New Roman" w:hAnsi="Times New Roman"/>
        <w:sz w:val="19"/>
        <w:szCs w:val="19"/>
        <w:lang w:eastAsia="pt-BR"/>
      </w:rPr>
    </w:pPr>
    <w:r w:rsidRPr="00665729">
      <w:rPr>
        <w:rFonts w:ascii="Times New Roman" w:eastAsia="Times New Roman" w:hAnsi="Times New Roman"/>
        <w:sz w:val="24"/>
        <w:szCs w:val="20"/>
        <w:lang w:eastAsia="pt-BR"/>
      </w:rPr>
      <w:fldChar w:fldCharType="begin"/>
    </w:r>
    <w:r w:rsidRPr="00665729">
      <w:rPr>
        <w:rFonts w:ascii="Times New Roman" w:eastAsia="Times New Roman" w:hAnsi="Times New Roman"/>
        <w:sz w:val="24"/>
        <w:szCs w:val="20"/>
        <w:lang w:eastAsia="pt-BR"/>
      </w:rPr>
      <w:instrText>PAGE   \* MERGEFORMAT</w:instrText>
    </w:r>
    <w:r w:rsidRPr="00665729">
      <w:rPr>
        <w:rFonts w:ascii="Times New Roman" w:eastAsia="Times New Roman" w:hAnsi="Times New Roman"/>
        <w:sz w:val="24"/>
        <w:szCs w:val="20"/>
        <w:lang w:eastAsia="pt-BR"/>
      </w:rPr>
      <w:fldChar w:fldCharType="separate"/>
    </w:r>
    <w:r w:rsidRPr="00665729">
      <w:rPr>
        <w:rFonts w:ascii="Times New Roman" w:eastAsia="Times New Roman" w:hAnsi="Times New Roman"/>
        <w:sz w:val="24"/>
        <w:szCs w:val="20"/>
        <w:lang w:eastAsia="pt-BR"/>
      </w:rPr>
      <w:t>358</w:t>
    </w:r>
    <w:r w:rsidRPr="00665729">
      <w:rPr>
        <w:rFonts w:ascii="Times New Roman" w:eastAsia="Times New Roman" w:hAnsi="Times New Roman"/>
        <w:sz w:val="24"/>
        <w:szCs w:val="20"/>
        <w:lang w:eastAsia="pt-BR"/>
      </w:rPr>
      <w:fldChar w:fldCharType="end"/>
    </w:r>
    <w:r w:rsidRPr="00665729">
      <w:rPr>
        <w:rFonts w:ascii="Times New Roman" w:eastAsia="Times New Roman" w:hAnsi="Times New Roman"/>
        <w:noProof/>
        <w:sz w:val="20"/>
        <w:szCs w:val="20"/>
        <w:lang w:eastAsia="pt-BR"/>
      </w:rPr>
      <mc:AlternateContent>
        <mc:Choice Requires="wps">
          <w:drawing>
            <wp:anchor distT="4294967291" distB="4294967291" distL="114300" distR="114300" simplePos="0" relativeHeight="251663360" behindDoc="0" locked="0" layoutInCell="1" allowOverlap="1" wp14:anchorId="514F1773" wp14:editId="2D08B481">
              <wp:simplePos x="0" y="0"/>
              <wp:positionH relativeFrom="column">
                <wp:posOffset>-29210</wp:posOffset>
              </wp:positionH>
              <wp:positionV relativeFrom="paragraph">
                <wp:posOffset>211454</wp:posOffset>
              </wp:positionV>
              <wp:extent cx="5829300" cy="0"/>
              <wp:effectExtent l="0" t="0" r="0" b="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DE7AD1" id="Conector reto 3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3pt,16.65pt" to="456.7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"/>
          </w:pict>
        </mc:Fallback>
      </mc:AlternateContent>
    </w:r>
    <w:r w:rsidRPr="00665729">
      <w:rPr>
        <w:rFonts w:ascii="Times New Roman" w:eastAsia="Times New Roman" w:hAnsi="Times New Roman"/>
        <w:sz w:val="24"/>
        <w:szCs w:val="20"/>
        <w:lang w:eastAsia="pt-BR"/>
      </w:rPr>
      <w:t xml:space="preserve">                                               </w:t>
    </w:r>
    <w:r w:rsidRPr="00665729">
      <w:rPr>
        <w:rFonts w:ascii="Times New Roman" w:eastAsia="Times New Roman" w:hAnsi="Times New Roman"/>
        <w:sz w:val="19"/>
        <w:szCs w:val="19"/>
        <w:lang w:eastAsia="pt-BR"/>
      </w:rPr>
      <w:t xml:space="preserve"> </w:t>
    </w:r>
    <w:r>
      <w:rPr>
        <w:rFonts w:ascii="Times New Roman" w:eastAsia="Times New Roman" w:hAnsi="Times New Roman"/>
        <w:sz w:val="19"/>
        <w:szCs w:val="19"/>
        <w:lang w:eastAsia="pt-BR"/>
      </w:rPr>
      <w:t>U</w:t>
    </w:r>
    <w:r w:rsidRPr="00665729">
      <w:rPr>
        <w:rFonts w:ascii="Times New Roman" w:eastAsia="Times New Roman" w:hAnsi="Times New Roman"/>
        <w:sz w:val="19"/>
        <w:szCs w:val="19"/>
        <w:lang w:eastAsia="pt-BR"/>
      </w:rPr>
      <w:t xml:space="preserve">tilização de </w:t>
    </w:r>
    <w:proofErr w:type="spellStart"/>
    <w:r w:rsidRPr="00665729">
      <w:rPr>
        <w:rFonts w:ascii="Times New Roman" w:eastAsia="Times New Roman" w:hAnsi="Times New Roman"/>
        <w:sz w:val="19"/>
        <w:szCs w:val="19"/>
        <w:lang w:eastAsia="pt-BR"/>
      </w:rPr>
      <w:t>bioestimulantes</w:t>
    </w:r>
    <w:proofErr w:type="spellEnd"/>
    <w:r w:rsidRPr="00665729">
      <w:rPr>
        <w:rFonts w:ascii="Times New Roman" w:eastAsia="Times New Roman" w:hAnsi="Times New Roman"/>
        <w:sz w:val="19"/>
        <w:szCs w:val="19"/>
        <w:lang w:eastAsia="pt-BR"/>
      </w:rPr>
      <w:t>...</w:t>
    </w:r>
  </w:p>
  <w:p w14:paraId="1551C48C" w14:textId="77777777" w:rsidR="00665729" w:rsidRDefault="0066572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Times New Roman" w:hAnsi="Times New Roman" w:cs="Arial"/>
        <w:sz w:val="24"/>
        <w:szCs w:val="20"/>
        <w:lang w:val="en-GB" w:eastAsia="pt-BR"/>
      </w:rPr>
      <w:id w:val="-1409838878"/>
      <w:docPartObj>
        <w:docPartGallery w:val="Page Numbers (Top of Page)"/>
        <w:docPartUnique/>
      </w:docPartObj>
    </w:sdtPr>
    <w:sdtEndPr/>
    <w:sdtContent>
      <w:p w14:paraId="6B18E71C" w14:textId="3E5D4FBC" w:rsidR="00665729" w:rsidRPr="00665729" w:rsidRDefault="00665729" w:rsidP="00665729">
        <w:pPr>
          <w:tabs>
            <w:tab w:val="center" w:pos="4513"/>
            <w:tab w:val="right" w:pos="9026"/>
          </w:tabs>
          <w:spacing w:after="0"/>
          <w:jc w:val="right"/>
          <w:rPr>
            <w:rFonts w:ascii="Times New Roman" w:eastAsia="Times New Roman" w:hAnsi="Times New Roman" w:cs="Arial"/>
            <w:sz w:val="24"/>
            <w:szCs w:val="20"/>
            <w:lang w:val="en-GB" w:eastAsia="pt-BR"/>
          </w:rPr>
        </w:pPr>
        <w:r>
          <w:rPr>
            <w:rFonts w:ascii="Times New Roman" w:eastAsia="Times New Roman" w:hAnsi="Times New Roman" w:cs="Arial"/>
            <w:sz w:val="19"/>
            <w:szCs w:val="19"/>
            <w:lang w:val="en-GB" w:eastAsia="pt-BR"/>
          </w:rPr>
          <w:t>Martins Neto</w:t>
        </w:r>
        <w:r w:rsidRPr="00665729">
          <w:rPr>
            <w:rFonts w:ascii="Times New Roman" w:eastAsia="Times New Roman" w:hAnsi="Times New Roman" w:cs="Arial"/>
            <w:sz w:val="19"/>
            <w:szCs w:val="19"/>
            <w:lang w:val="en-GB" w:eastAsia="pt-BR"/>
          </w:rPr>
          <w:t xml:space="preserve">, et al.                                                                        </w:t>
        </w:r>
        <w:r w:rsidRPr="00665729">
          <w:rPr>
            <w:rFonts w:ascii="Times New Roman" w:eastAsia="Times New Roman" w:hAnsi="Times New Roman" w:cs="Arial"/>
            <w:sz w:val="24"/>
            <w:szCs w:val="20"/>
            <w:lang w:val="en-GB" w:eastAsia="pt-BR"/>
          </w:rPr>
          <w:fldChar w:fldCharType="begin"/>
        </w:r>
        <w:r w:rsidRPr="00665729">
          <w:rPr>
            <w:rFonts w:ascii="Times New Roman" w:eastAsia="Times New Roman" w:hAnsi="Times New Roman" w:cs="Arial"/>
            <w:sz w:val="24"/>
            <w:szCs w:val="20"/>
            <w:lang w:val="en-GB" w:eastAsia="pt-BR"/>
          </w:rPr>
          <w:instrText>PAGE   \* MERGEFORMAT</w:instrText>
        </w:r>
        <w:r w:rsidRPr="00665729">
          <w:rPr>
            <w:rFonts w:ascii="Times New Roman" w:eastAsia="Times New Roman" w:hAnsi="Times New Roman" w:cs="Arial"/>
            <w:sz w:val="24"/>
            <w:szCs w:val="20"/>
            <w:lang w:val="en-GB" w:eastAsia="pt-BR"/>
          </w:rPr>
          <w:fldChar w:fldCharType="separate"/>
        </w:r>
        <w:r w:rsidRPr="00665729">
          <w:rPr>
            <w:rFonts w:ascii="Times New Roman" w:eastAsia="Times New Roman" w:hAnsi="Times New Roman" w:cs="Arial"/>
            <w:sz w:val="24"/>
            <w:szCs w:val="20"/>
            <w:lang w:val="en-GB" w:eastAsia="pt-BR"/>
          </w:rPr>
          <w:t>357</w:t>
        </w:r>
        <w:r w:rsidRPr="00665729">
          <w:rPr>
            <w:rFonts w:ascii="Times New Roman" w:eastAsia="Times New Roman" w:hAnsi="Times New Roman" w:cs="Arial"/>
            <w:sz w:val="24"/>
            <w:szCs w:val="20"/>
            <w:lang w:val="en-GB" w:eastAsia="pt-BR"/>
          </w:rPr>
          <w:fldChar w:fldCharType="end"/>
        </w:r>
      </w:p>
    </w:sdtContent>
  </w:sdt>
  <w:p w14:paraId="50E222F1" w14:textId="2C393182" w:rsidR="00665729" w:rsidRPr="00665729" w:rsidRDefault="00665729" w:rsidP="00665729">
    <w:pPr>
      <w:tabs>
        <w:tab w:val="center" w:pos="4252"/>
        <w:tab w:val="right" w:pos="8504"/>
      </w:tabs>
      <w:spacing w:after="0"/>
      <w:jc w:val="both"/>
      <w:rPr>
        <w:rFonts w:ascii="Times New Roman" w:eastAsia="Times New Roman" w:hAnsi="Times New Roman"/>
        <w:sz w:val="19"/>
        <w:szCs w:val="19"/>
        <w:lang w:eastAsia="pt-BR"/>
      </w:rPr>
    </w:pPr>
    <w:r w:rsidRPr="00665729">
      <w:rPr>
        <w:rFonts w:ascii="Times New Roman" w:eastAsia="Times New Roman" w:hAnsi="Times New Roman"/>
        <w:noProof/>
        <w:sz w:val="20"/>
        <w:szCs w:val="20"/>
        <w:lang w:eastAsia="pt-BR"/>
      </w:rPr>
      <mc:AlternateContent>
        <mc:Choice Requires="wps">
          <w:drawing>
            <wp:anchor distT="4294967291" distB="4294967291" distL="114300" distR="114300" simplePos="0" relativeHeight="251661312" behindDoc="0" locked="0" layoutInCell="1" allowOverlap="1" wp14:anchorId="25D803DC" wp14:editId="7BF69617">
              <wp:simplePos x="0" y="0"/>
              <wp:positionH relativeFrom="margin">
                <wp:align>left</wp:align>
              </wp:positionH>
              <wp:positionV relativeFrom="paragraph">
                <wp:posOffset>13334</wp:posOffset>
              </wp:positionV>
              <wp:extent cx="5829300" cy="0"/>
              <wp:effectExtent l="0" t="0" r="0" b="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DF45C1" id="Conector reto 2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from="0,1.05pt" to="459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ADA9A" w14:textId="78D7D17A" w:rsidR="00665729" w:rsidRPr="00665729" w:rsidRDefault="00665729" w:rsidP="00665729">
    <w:pPr>
      <w:tabs>
        <w:tab w:val="center" w:pos="4252"/>
        <w:tab w:val="right" w:pos="8504"/>
      </w:tabs>
      <w:spacing w:after="0" w:line="360" w:lineRule="auto"/>
      <w:jc w:val="both"/>
      <w:rPr>
        <w:rFonts w:ascii="Times New Roman" w:eastAsia="Times New Roman" w:hAnsi="Times New Roman" w:cs="Arial"/>
        <w:sz w:val="19"/>
        <w:lang w:val="en-GB"/>
      </w:rPr>
    </w:pPr>
    <w:r w:rsidRPr="00665729">
      <w:rPr>
        <w:rFonts w:ascii="Times New Roman" w:eastAsia="Times New Roman" w:hAnsi="Times New Roman"/>
        <w:noProof/>
        <w:sz w:val="20"/>
        <w:szCs w:val="20"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61DCC412" wp14:editId="1AF4B958">
              <wp:simplePos x="0" y="0"/>
              <wp:positionH relativeFrom="column">
                <wp:posOffset>-38100</wp:posOffset>
              </wp:positionH>
              <wp:positionV relativeFrom="paragraph">
                <wp:posOffset>212089</wp:posOffset>
              </wp:positionV>
              <wp:extent cx="5829300" cy="0"/>
              <wp:effectExtent l="0" t="0" r="0" b="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29EFA1" id="Conector reto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pt,16.7pt" to="456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"/>
          </w:pict>
        </mc:Fallback>
      </mc:AlternateContent>
    </w:r>
    <w:r w:rsidRPr="00665729">
      <w:rPr>
        <w:rFonts w:ascii="Times New Roman" w:eastAsia="Times New Roman" w:hAnsi="Times New Roman" w:cs="Arial"/>
        <w:sz w:val="24"/>
        <w:szCs w:val="24"/>
        <w:lang w:val="en-GB"/>
      </w:rPr>
      <w:fldChar w:fldCharType="begin"/>
    </w:r>
    <w:r w:rsidRPr="00665729">
      <w:rPr>
        <w:rFonts w:ascii="Times New Roman" w:eastAsia="Times New Roman" w:hAnsi="Times New Roman" w:cs="Arial"/>
        <w:sz w:val="24"/>
        <w:szCs w:val="24"/>
        <w:lang w:val="en-GB"/>
      </w:rPr>
      <w:instrText xml:space="preserve"> PAGE </w:instrText>
    </w:r>
    <w:r w:rsidRPr="00665729">
      <w:rPr>
        <w:rFonts w:ascii="Times New Roman" w:eastAsia="Times New Roman" w:hAnsi="Times New Roman" w:cs="Arial"/>
        <w:sz w:val="24"/>
        <w:szCs w:val="24"/>
        <w:lang w:val="en-GB"/>
      </w:rPr>
      <w:fldChar w:fldCharType="separate"/>
    </w:r>
    <w:r w:rsidRPr="00665729">
      <w:rPr>
        <w:rFonts w:ascii="Times New Roman" w:eastAsia="Times New Roman" w:hAnsi="Times New Roman" w:cs="Arial"/>
        <w:sz w:val="24"/>
        <w:szCs w:val="24"/>
        <w:lang w:val="en-GB"/>
      </w:rPr>
      <w:t>356</w:t>
    </w:r>
    <w:r w:rsidRPr="00665729">
      <w:rPr>
        <w:rFonts w:ascii="Times New Roman" w:eastAsia="Times New Roman" w:hAnsi="Times New Roman" w:cs="Arial"/>
        <w:sz w:val="24"/>
        <w:szCs w:val="24"/>
        <w:lang w:val="en-GB"/>
      </w:rPr>
      <w:fldChar w:fldCharType="end"/>
    </w:r>
    <w:r w:rsidRPr="00665729">
      <w:rPr>
        <w:rFonts w:ascii="Times New Roman" w:eastAsia="Times New Roman" w:hAnsi="Times New Roman" w:cs="Arial"/>
        <w:sz w:val="28"/>
        <w:lang w:val="en-GB"/>
      </w:rPr>
      <w:t xml:space="preserve"> </w:t>
    </w:r>
    <w:r w:rsidRPr="00665729">
      <w:rPr>
        <w:rFonts w:ascii="Times New Roman" w:eastAsia="Times New Roman" w:hAnsi="Times New Roman" w:cs="Arial"/>
        <w:lang w:val="en-GB"/>
      </w:rPr>
      <w:t xml:space="preserve">                                                                           </w:t>
    </w:r>
    <w:proofErr w:type="spellStart"/>
    <w:r w:rsidRPr="00665729">
      <w:rPr>
        <w:rFonts w:ascii="Times New Roman" w:eastAsia="Times New Roman" w:hAnsi="Times New Roman" w:cs="Arial"/>
        <w:sz w:val="19"/>
        <w:lang w:val="en-GB"/>
      </w:rPr>
      <w:t>Irriga</w:t>
    </w:r>
    <w:proofErr w:type="spellEnd"/>
    <w:r w:rsidRPr="00665729">
      <w:rPr>
        <w:rFonts w:ascii="Times New Roman" w:eastAsia="Times New Roman" w:hAnsi="Times New Roman" w:cs="Arial"/>
        <w:sz w:val="19"/>
        <w:lang w:val="en-GB"/>
      </w:rPr>
      <w:t xml:space="preserve">, </w:t>
    </w:r>
    <w:proofErr w:type="spellStart"/>
    <w:r w:rsidRPr="00665729">
      <w:rPr>
        <w:rFonts w:ascii="Times New Roman" w:eastAsia="Times New Roman" w:hAnsi="Times New Roman" w:cs="Arial"/>
        <w:sz w:val="19"/>
        <w:lang w:val="en-GB"/>
      </w:rPr>
      <w:t>Botucatu</w:t>
    </w:r>
    <w:proofErr w:type="spellEnd"/>
    <w:r w:rsidRPr="00665729">
      <w:rPr>
        <w:rFonts w:ascii="Times New Roman" w:eastAsia="Times New Roman" w:hAnsi="Times New Roman" w:cs="Arial"/>
        <w:sz w:val="19"/>
        <w:lang w:val="en-GB"/>
      </w:rPr>
      <w:t>, v. 29, p. 3</w:t>
    </w:r>
    <w:r>
      <w:rPr>
        <w:rFonts w:ascii="Times New Roman" w:eastAsia="Times New Roman" w:hAnsi="Times New Roman" w:cs="Arial"/>
        <w:sz w:val="19"/>
        <w:lang w:val="en-GB"/>
      </w:rPr>
      <w:t>68-381</w:t>
    </w:r>
    <w:r w:rsidRPr="00665729">
      <w:rPr>
        <w:rFonts w:ascii="Times New Roman" w:eastAsia="Times New Roman" w:hAnsi="Times New Roman" w:cs="Arial"/>
        <w:sz w:val="19"/>
        <w:lang w:val="en-GB"/>
      </w:rPr>
      <w:t xml:space="preserve">, </w:t>
    </w:r>
    <w:proofErr w:type="spellStart"/>
    <w:r w:rsidRPr="00665729">
      <w:rPr>
        <w:rFonts w:ascii="Times New Roman" w:eastAsia="Times New Roman" w:hAnsi="Times New Roman" w:cs="Arial"/>
        <w:sz w:val="19"/>
        <w:lang w:val="en-GB"/>
      </w:rPr>
      <w:t>janeiro-dezembro</w:t>
    </w:r>
    <w:proofErr w:type="spellEnd"/>
    <w:r w:rsidRPr="00665729">
      <w:rPr>
        <w:rFonts w:ascii="Times New Roman" w:eastAsia="Times New Roman" w:hAnsi="Times New Roman" w:cs="Arial"/>
        <w:sz w:val="19"/>
        <w:lang w:val="en-GB"/>
      </w:rPr>
      <w:t>, 2024</w:t>
    </w:r>
    <w:r w:rsidRPr="00665729">
      <w:rPr>
        <w:rFonts w:ascii="Times New Roman" w:eastAsia="Times New Roman" w:hAnsi="Times New Roman" w:cs="Arial"/>
        <w:lang w:val="en-GB"/>
      </w:rPr>
      <w:t xml:space="preserve">                </w:t>
    </w:r>
  </w:p>
  <w:p w14:paraId="34EA7821" w14:textId="28B541CE" w:rsidR="00665729" w:rsidRPr="00665729" w:rsidRDefault="00665729" w:rsidP="00665729">
    <w:pPr>
      <w:tabs>
        <w:tab w:val="center" w:pos="4252"/>
        <w:tab w:val="right" w:pos="8504"/>
      </w:tabs>
      <w:spacing w:after="0" w:line="360" w:lineRule="auto"/>
      <w:jc w:val="right"/>
      <w:rPr>
        <w:rFonts w:ascii="Times New Roman" w:eastAsia="Times New Roman" w:hAnsi="Times New Roman" w:cs="Arial"/>
        <w:lang w:val="en-GB"/>
      </w:rPr>
    </w:pPr>
    <w:r w:rsidRPr="00665729">
      <w:rPr>
        <w:rFonts w:ascii="Times New Roman" w:eastAsia="Times New Roman" w:hAnsi="Times New Roman" w:cs="Arial"/>
        <w:sz w:val="19"/>
        <w:lang w:val="en-GB"/>
      </w:rPr>
      <w:t>ISSN 1808-8546 (ONLINE) 1808-3765 (CD-ROM)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E443E" w14:textId="77777777" w:rsidR="00665729" w:rsidRPr="00665729" w:rsidRDefault="00665729" w:rsidP="00665729">
    <w:pPr>
      <w:tabs>
        <w:tab w:val="center" w:pos="4252"/>
        <w:tab w:val="right" w:pos="8504"/>
      </w:tabs>
      <w:spacing w:after="0"/>
      <w:jc w:val="both"/>
      <w:rPr>
        <w:rFonts w:ascii="Times New Roman" w:eastAsia="Times New Roman" w:hAnsi="Times New Roman"/>
        <w:sz w:val="19"/>
        <w:szCs w:val="19"/>
        <w:lang w:eastAsia="pt-BR"/>
      </w:rPr>
    </w:pPr>
    <w:r w:rsidRPr="00665729">
      <w:rPr>
        <w:rFonts w:ascii="Times New Roman" w:eastAsia="Times New Roman" w:hAnsi="Times New Roman"/>
        <w:sz w:val="24"/>
        <w:szCs w:val="20"/>
        <w:lang w:eastAsia="pt-BR"/>
      </w:rPr>
      <w:fldChar w:fldCharType="begin"/>
    </w:r>
    <w:r w:rsidRPr="00665729">
      <w:rPr>
        <w:rFonts w:ascii="Times New Roman" w:eastAsia="Times New Roman" w:hAnsi="Times New Roman"/>
        <w:sz w:val="24"/>
        <w:szCs w:val="20"/>
        <w:lang w:eastAsia="pt-BR"/>
      </w:rPr>
      <w:instrText>PAGE   \* MERGEFORMAT</w:instrText>
    </w:r>
    <w:r w:rsidRPr="00665729">
      <w:rPr>
        <w:rFonts w:ascii="Times New Roman" w:eastAsia="Times New Roman" w:hAnsi="Times New Roman"/>
        <w:sz w:val="24"/>
        <w:szCs w:val="20"/>
        <w:lang w:eastAsia="pt-BR"/>
      </w:rPr>
      <w:fldChar w:fldCharType="separate"/>
    </w:r>
    <w:r>
      <w:rPr>
        <w:rFonts w:ascii="Times New Roman" w:eastAsia="Times New Roman" w:hAnsi="Times New Roman"/>
        <w:sz w:val="24"/>
        <w:szCs w:val="20"/>
        <w:lang w:eastAsia="pt-BR"/>
      </w:rPr>
      <w:t>370</w:t>
    </w:r>
    <w:r w:rsidRPr="00665729">
      <w:rPr>
        <w:rFonts w:ascii="Times New Roman" w:eastAsia="Times New Roman" w:hAnsi="Times New Roman"/>
        <w:sz w:val="24"/>
        <w:szCs w:val="20"/>
        <w:lang w:eastAsia="pt-BR"/>
      </w:rPr>
      <w:fldChar w:fldCharType="end"/>
    </w:r>
    <w:r w:rsidRPr="00665729">
      <w:rPr>
        <w:rFonts w:ascii="Times New Roman" w:eastAsia="Times New Roman" w:hAnsi="Times New Roman"/>
        <w:noProof/>
        <w:sz w:val="20"/>
        <w:szCs w:val="20"/>
        <w:lang w:eastAsia="pt-BR"/>
      </w:rPr>
      <mc:AlternateContent>
        <mc:Choice Requires="wps">
          <w:drawing>
            <wp:anchor distT="4294967291" distB="4294967291" distL="114300" distR="114300" simplePos="0" relativeHeight="251665408" behindDoc="0" locked="0" layoutInCell="1" allowOverlap="1" wp14:anchorId="1032748C" wp14:editId="7AADCEBC">
              <wp:simplePos x="0" y="0"/>
              <wp:positionH relativeFrom="column">
                <wp:posOffset>-29210</wp:posOffset>
              </wp:positionH>
              <wp:positionV relativeFrom="paragraph">
                <wp:posOffset>211454</wp:posOffset>
              </wp:positionV>
              <wp:extent cx="5829300" cy="0"/>
              <wp:effectExtent l="0" t="0" r="0" b="0"/>
              <wp:wrapNone/>
              <wp:docPr id="5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72F996" id="Conector reto 5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3pt,16.65pt" to="456.7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"/>
          </w:pict>
        </mc:Fallback>
      </mc:AlternateContent>
    </w:r>
    <w:r w:rsidRPr="00665729">
      <w:rPr>
        <w:rFonts w:ascii="Times New Roman" w:eastAsia="Times New Roman" w:hAnsi="Times New Roman"/>
        <w:sz w:val="24"/>
        <w:szCs w:val="20"/>
        <w:lang w:eastAsia="pt-BR"/>
      </w:rPr>
      <w:t xml:space="preserve">                                               </w:t>
    </w:r>
    <w:r w:rsidRPr="00665729">
      <w:rPr>
        <w:rFonts w:ascii="Times New Roman" w:eastAsia="Times New Roman" w:hAnsi="Times New Roman"/>
        <w:sz w:val="19"/>
        <w:szCs w:val="19"/>
        <w:lang w:eastAsia="pt-BR"/>
      </w:rPr>
      <w:t xml:space="preserve"> </w:t>
    </w:r>
    <w:r>
      <w:rPr>
        <w:rFonts w:ascii="Times New Roman" w:eastAsia="Times New Roman" w:hAnsi="Times New Roman"/>
        <w:sz w:val="19"/>
        <w:szCs w:val="19"/>
        <w:lang w:eastAsia="pt-BR"/>
      </w:rPr>
      <w:t>U</w:t>
    </w:r>
    <w:r w:rsidRPr="00665729">
      <w:rPr>
        <w:rFonts w:ascii="Times New Roman" w:eastAsia="Times New Roman" w:hAnsi="Times New Roman"/>
        <w:sz w:val="19"/>
        <w:szCs w:val="19"/>
        <w:lang w:eastAsia="pt-BR"/>
      </w:rPr>
      <w:t xml:space="preserve">tilização de </w:t>
    </w:r>
    <w:proofErr w:type="spellStart"/>
    <w:r w:rsidRPr="00665729">
      <w:rPr>
        <w:rFonts w:ascii="Times New Roman" w:eastAsia="Times New Roman" w:hAnsi="Times New Roman"/>
        <w:sz w:val="19"/>
        <w:szCs w:val="19"/>
        <w:lang w:eastAsia="pt-BR"/>
      </w:rPr>
      <w:t>bioestimulantes</w:t>
    </w:r>
    <w:proofErr w:type="spellEnd"/>
    <w:r w:rsidRPr="00665729">
      <w:rPr>
        <w:rFonts w:ascii="Times New Roman" w:eastAsia="Times New Roman" w:hAnsi="Times New Roman"/>
        <w:sz w:val="19"/>
        <w:szCs w:val="19"/>
        <w:lang w:eastAsia="pt-BR"/>
      </w:rPr>
      <w:t>...</w:t>
    </w:r>
  </w:p>
  <w:p w14:paraId="61E59D27" w14:textId="653218CC" w:rsidR="00665729" w:rsidRPr="00665729" w:rsidRDefault="00665729" w:rsidP="00665729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Times New Roman" w:hAnsi="Times New Roman" w:cs="Arial"/>
        <w:sz w:val="24"/>
        <w:szCs w:val="20"/>
        <w:lang w:val="en-GB" w:eastAsia="pt-BR"/>
      </w:rPr>
      <w:id w:val="-1490087073"/>
      <w:docPartObj>
        <w:docPartGallery w:val="Page Numbers (Top of Page)"/>
        <w:docPartUnique/>
      </w:docPartObj>
    </w:sdtPr>
    <w:sdtEndPr/>
    <w:sdtContent>
      <w:p w14:paraId="3DD0951D" w14:textId="77777777" w:rsidR="00665729" w:rsidRPr="00665729" w:rsidRDefault="00665729" w:rsidP="00665729">
        <w:pPr>
          <w:tabs>
            <w:tab w:val="center" w:pos="4513"/>
            <w:tab w:val="right" w:pos="9026"/>
          </w:tabs>
          <w:spacing w:after="0"/>
          <w:jc w:val="right"/>
          <w:rPr>
            <w:rFonts w:ascii="Times New Roman" w:eastAsia="Times New Roman" w:hAnsi="Times New Roman" w:cs="Arial"/>
            <w:sz w:val="24"/>
            <w:szCs w:val="20"/>
            <w:lang w:val="en-GB" w:eastAsia="pt-BR"/>
          </w:rPr>
        </w:pPr>
        <w:r>
          <w:rPr>
            <w:rFonts w:ascii="Times New Roman" w:eastAsia="Times New Roman" w:hAnsi="Times New Roman" w:cs="Arial"/>
            <w:sz w:val="19"/>
            <w:szCs w:val="19"/>
            <w:lang w:val="en-GB" w:eastAsia="pt-BR"/>
          </w:rPr>
          <w:t>Martins Neto</w:t>
        </w:r>
        <w:r w:rsidRPr="00665729">
          <w:rPr>
            <w:rFonts w:ascii="Times New Roman" w:eastAsia="Times New Roman" w:hAnsi="Times New Roman" w:cs="Arial"/>
            <w:sz w:val="19"/>
            <w:szCs w:val="19"/>
            <w:lang w:val="en-GB" w:eastAsia="pt-BR"/>
          </w:rPr>
          <w:t xml:space="preserve">, et al.                                                                        </w:t>
        </w:r>
        <w:r w:rsidRPr="00665729">
          <w:rPr>
            <w:rFonts w:ascii="Times New Roman" w:eastAsia="Times New Roman" w:hAnsi="Times New Roman" w:cs="Arial"/>
            <w:sz w:val="24"/>
            <w:szCs w:val="20"/>
            <w:lang w:val="en-GB" w:eastAsia="pt-BR"/>
          </w:rPr>
          <w:fldChar w:fldCharType="begin"/>
        </w:r>
        <w:r w:rsidRPr="00665729">
          <w:rPr>
            <w:rFonts w:ascii="Times New Roman" w:eastAsia="Times New Roman" w:hAnsi="Times New Roman" w:cs="Arial"/>
            <w:sz w:val="24"/>
            <w:szCs w:val="20"/>
            <w:lang w:val="en-GB" w:eastAsia="pt-BR"/>
          </w:rPr>
          <w:instrText>PAGE   \* MERGEFORMAT</w:instrText>
        </w:r>
        <w:r w:rsidRPr="00665729">
          <w:rPr>
            <w:rFonts w:ascii="Times New Roman" w:eastAsia="Times New Roman" w:hAnsi="Times New Roman" w:cs="Arial"/>
            <w:sz w:val="24"/>
            <w:szCs w:val="20"/>
            <w:lang w:val="en-GB" w:eastAsia="pt-BR"/>
          </w:rPr>
          <w:fldChar w:fldCharType="separate"/>
        </w:r>
        <w:r>
          <w:rPr>
            <w:rFonts w:ascii="Times New Roman" w:eastAsia="Times New Roman" w:hAnsi="Times New Roman" w:cs="Arial"/>
            <w:sz w:val="24"/>
            <w:szCs w:val="20"/>
            <w:lang w:val="en-GB" w:eastAsia="pt-BR"/>
          </w:rPr>
          <w:t>373</w:t>
        </w:r>
        <w:r w:rsidRPr="00665729">
          <w:rPr>
            <w:rFonts w:ascii="Times New Roman" w:eastAsia="Times New Roman" w:hAnsi="Times New Roman" w:cs="Arial"/>
            <w:sz w:val="24"/>
            <w:szCs w:val="20"/>
            <w:lang w:val="en-GB" w:eastAsia="pt-BR"/>
          </w:rPr>
          <w:fldChar w:fldCharType="end"/>
        </w:r>
      </w:p>
    </w:sdtContent>
  </w:sdt>
  <w:p w14:paraId="05F55CAB" w14:textId="77777777" w:rsidR="00665729" w:rsidRPr="00665729" w:rsidRDefault="00665729" w:rsidP="00665729">
    <w:pPr>
      <w:tabs>
        <w:tab w:val="center" w:pos="4252"/>
        <w:tab w:val="right" w:pos="8504"/>
      </w:tabs>
      <w:spacing w:after="0"/>
      <w:jc w:val="both"/>
      <w:rPr>
        <w:rFonts w:ascii="Times New Roman" w:eastAsia="Times New Roman" w:hAnsi="Times New Roman"/>
        <w:sz w:val="19"/>
        <w:szCs w:val="19"/>
        <w:lang w:eastAsia="pt-BR"/>
      </w:rPr>
    </w:pPr>
    <w:r w:rsidRPr="00665729">
      <w:rPr>
        <w:rFonts w:ascii="Times New Roman" w:eastAsia="Times New Roman" w:hAnsi="Times New Roman"/>
        <w:noProof/>
        <w:sz w:val="20"/>
        <w:szCs w:val="20"/>
        <w:lang w:eastAsia="pt-BR"/>
      </w:rPr>
      <mc:AlternateContent>
        <mc:Choice Requires="wps">
          <w:drawing>
            <wp:anchor distT="4294967291" distB="4294967291" distL="114300" distR="114300" simplePos="0" relativeHeight="251667456" behindDoc="0" locked="0" layoutInCell="1" allowOverlap="1" wp14:anchorId="30F0CB83" wp14:editId="20BC2DB1">
              <wp:simplePos x="0" y="0"/>
              <wp:positionH relativeFrom="margin">
                <wp:align>left</wp:align>
              </wp:positionH>
              <wp:positionV relativeFrom="paragraph">
                <wp:posOffset>13334</wp:posOffset>
              </wp:positionV>
              <wp:extent cx="5829300" cy="0"/>
              <wp:effectExtent l="0" t="0" r="0" b="0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EF7B4D" id="Conector reto 7" o:spid="_x0000_s1026" style="position:absolute;z-index:251667456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from="0,1.05pt" to="459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">
              <w10:wrap anchorx="margin"/>
            </v:line>
          </w:pict>
        </mc:Fallback>
      </mc:AlternateContent>
    </w:r>
  </w:p>
  <w:p w14:paraId="5E74063C" w14:textId="77777777" w:rsidR="00665729" w:rsidRPr="00665729" w:rsidRDefault="00665729" w:rsidP="00665729">
    <w:pPr>
      <w:pStyle w:val="Cabealh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07AFC" w14:textId="77777777" w:rsidR="00665729" w:rsidRPr="00665729" w:rsidRDefault="00665729" w:rsidP="00665729">
    <w:pPr>
      <w:tabs>
        <w:tab w:val="center" w:pos="4252"/>
        <w:tab w:val="right" w:pos="8504"/>
      </w:tabs>
      <w:spacing w:after="0"/>
      <w:jc w:val="both"/>
      <w:rPr>
        <w:rFonts w:ascii="Times New Roman" w:eastAsia="Times New Roman" w:hAnsi="Times New Roman"/>
        <w:sz w:val="19"/>
        <w:szCs w:val="19"/>
        <w:lang w:eastAsia="pt-BR"/>
      </w:rPr>
    </w:pPr>
    <w:r w:rsidRPr="00665729">
      <w:rPr>
        <w:rFonts w:ascii="Times New Roman" w:eastAsia="Times New Roman" w:hAnsi="Times New Roman"/>
        <w:sz w:val="24"/>
        <w:szCs w:val="20"/>
        <w:lang w:eastAsia="pt-BR"/>
      </w:rPr>
      <w:fldChar w:fldCharType="begin"/>
    </w:r>
    <w:r w:rsidRPr="00665729">
      <w:rPr>
        <w:rFonts w:ascii="Times New Roman" w:eastAsia="Times New Roman" w:hAnsi="Times New Roman"/>
        <w:sz w:val="24"/>
        <w:szCs w:val="20"/>
        <w:lang w:eastAsia="pt-BR"/>
      </w:rPr>
      <w:instrText>PAGE   \* MERGEFORMAT</w:instrText>
    </w:r>
    <w:r w:rsidRPr="00665729">
      <w:rPr>
        <w:rFonts w:ascii="Times New Roman" w:eastAsia="Times New Roman" w:hAnsi="Times New Roman"/>
        <w:sz w:val="24"/>
        <w:szCs w:val="20"/>
        <w:lang w:eastAsia="pt-BR"/>
      </w:rPr>
      <w:fldChar w:fldCharType="separate"/>
    </w:r>
    <w:r>
      <w:rPr>
        <w:rFonts w:ascii="Times New Roman" w:eastAsia="Times New Roman" w:hAnsi="Times New Roman"/>
        <w:sz w:val="24"/>
        <w:szCs w:val="20"/>
        <w:lang w:eastAsia="pt-BR"/>
      </w:rPr>
      <w:t>374</w:t>
    </w:r>
    <w:r w:rsidRPr="00665729">
      <w:rPr>
        <w:rFonts w:ascii="Times New Roman" w:eastAsia="Times New Roman" w:hAnsi="Times New Roman"/>
        <w:sz w:val="24"/>
        <w:szCs w:val="20"/>
        <w:lang w:eastAsia="pt-BR"/>
      </w:rPr>
      <w:fldChar w:fldCharType="end"/>
    </w:r>
    <w:r w:rsidRPr="00665729">
      <w:rPr>
        <w:rFonts w:ascii="Times New Roman" w:eastAsia="Times New Roman" w:hAnsi="Times New Roman"/>
        <w:noProof/>
        <w:sz w:val="20"/>
        <w:szCs w:val="20"/>
        <w:lang w:eastAsia="pt-BR"/>
      </w:rPr>
      <mc:AlternateContent>
        <mc:Choice Requires="wps">
          <w:drawing>
            <wp:anchor distT="4294967291" distB="4294967291" distL="114300" distR="114300" simplePos="0" relativeHeight="251669504" behindDoc="0" locked="0" layoutInCell="1" allowOverlap="1" wp14:anchorId="575B0D0E" wp14:editId="5B10C77F">
              <wp:simplePos x="0" y="0"/>
              <wp:positionH relativeFrom="column">
                <wp:posOffset>-29210</wp:posOffset>
              </wp:positionH>
              <wp:positionV relativeFrom="paragraph">
                <wp:posOffset>211454</wp:posOffset>
              </wp:positionV>
              <wp:extent cx="5829300" cy="0"/>
              <wp:effectExtent l="0" t="0" r="0" b="0"/>
              <wp:wrapNone/>
              <wp:docPr id="9" name="Conector re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B02A17" id="Conector reto 9" o:spid="_x0000_s1026" style="position:absolute;z-index:2516695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3pt,16.65pt" to="456.7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"/>
          </w:pict>
        </mc:Fallback>
      </mc:AlternateContent>
    </w:r>
    <w:r w:rsidRPr="00665729">
      <w:rPr>
        <w:rFonts w:ascii="Times New Roman" w:eastAsia="Times New Roman" w:hAnsi="Times New Roman"/>
        <w:sz w:val="24"/>
        <w:szCs w:val="20"/>
        <w:lang w:eastAsia="pt-BR"/>
      </w:rPr>
      <w:t xml:space="preserve">                                               </w:t>
    </w:r>
    <w:r w:rsidRPr="00665729">
      <w:rPr>
        <w:rFonts w:ascii="Times New Roman" w:eastAsia="Times New Roman" w:hAnsi="Times New Roman"/>
        <w:sz w:val="19"/>
        <w:szCs w:val="19"/>
        <w:lang w:eastAsia="pt-BR"/>
      </w:rPr>
      <w:t xml:space="preserve"> </w:t>
    </w:r>
    <w:r>
      <w:rPr>
        <w:rFonts w:ascii="Times New Roman" w:eastAsia="Times New Roman" w:hAnsi="Times New Roman"/>
        <w:sz w:val="19"/>
        <w:szCs w:val="19"/>
        <w:lang w:eastAsia="pt-BR"/>
      </w:rPr>
      <w:t>U</w:t>
    </w:r>
    <w:r w:rsidRPr="00665729">
      <w:rPr>
        <w:rFonts w:ascii="Times New Roman" w:eastAsia="Times New Roman" w:hAnsi="Times New Roman"/>
        <w:sz w:val="19"/>
        <w:szCs w:val="19"/>
        <w:lang w:eastAsia="pt-BR"/>
      </w:rPr>
      <w:t xml:space="preserve">tilização de </w:t>
    </w:r>
    <w:proofErr w:type="spellStart"/>
    <w:r w:rsidRPr="00665729">
      <w:rPr>
        <w:rFonts w:ascii="Times New Roman" w:eastAsia="Times New Roman" w:hAnsi="Times New Roman"/>
        <w:sz w:val="19"/>
        <w:szCs w:val="19"/>
        <w:lang w:eastAsia="pt-BR"/>
      </w:rPr>
      <w:t>bioestimulantes</w:t>
    </w:r>
    <w:proofErr w:type="spellEnd"/>
    <w:r w:rsidRPr="00665729">
      <w:rPr>
        <w:rFonts w:ascii="Times New Roman" w:eastAsia="Times New Roman" w:hAnsi="Times New Roman"/>
        <w:sz w:val="19"/>
        <w:szCs w:val="19"/>
        <w:lang w:eastAsia="pt-BR"/>
      </w:rPr>
      <w:t>...</w:t>
    </w:r>
  </w:p>
  <w:p w14:paraId="737DAA50" w14:textId="77777777" w:rsidR="00665729" w:rsidRPr="00665729" w:rsidRDefault="00665729" w:rsidP="006657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5C40"/>
    <w:multiLevelType w:val="hybridMultilevel"/>
    <w:tmpl w:val="7B5621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6773E"/>
    <w:multiLevelType w:val="hybridMultilevel"/>
    <w:tmpl w:val="B718A9E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80B7044"/>
    <w:multiLevelType w:val="hybridMultilevel"/>
    <w:tmpl w:val="6A8AB94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B994FE6"/>
    <w:multiLevelType w:val="hybridMultilevel"/>
    <w:tmpl w:val="DECAA1D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4E6590"/>
    <w:multiLevelType w:val="hybridMultilevel"/>
    <w:tmpl w:val="194A79E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EB13CD"/>
    <w:multiLevelType w:val="hybridMultilevel"/>
    <w:tmpl w:val="41B401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60FA5"/>
    <w:multiLevelType w:val="hybridMultilevel"/>
    <w:tmpl w:val="D2E8C23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785175"/>
    <w:multiLevelType w:val="hybridMultilevel"/>
    <w:tmpl w:val="723AA15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6CD0BAD"/>
    <w:multiLevelType w:val="hybridMultilevel"/>
    <w:tmpl w:val="43DA7628"/>
    <w:lvl w:ilvl="0" w:tplc="0416000F">
      <w:start w:val="1"/>
      <w:numFmt w:val="decimal"/>
      <w:lvlText w:val="%1."/>
      <w:lvlJc w:val="left"/>
      <w:pPr>
        <w:ind w:left="1484" w:hanging="360"/>
      </w:pPr>
    </w:lvl>
    <w:lvl w:ilvl="1" w:tplc="04160019" w:tentative="1">
      <w:start w:val="1"/>
      <w:numFmt w:val="lowerLetter"/>
      <w:lvlText w:val="%2."/>
      <w:lvlJc w:val="left"/>
      <w:pPr>
        <w:ind w:left="2204" w:hanging="360"/>
      </w:pPr>
    </w:lvl>
    <w:lvl w:ilvl="2" w:tplc="0416001B" w:tentative="1">
      <w:start w:val="1"/>
      <w:numFmt w:val="lowerRoman"/>
      <w:lvlText w:val="%3."/>
      <w:lvlJc w:val="right"/>
      <w:pPr>
        <w:ind w:left="2924" w:hanging="180"/>
      </w:pPr>
    </w:lvl>
    <w:lvl w:ilvl="3" w:tplc="0416000F" w:tentative="1">
      <w:start w:val="1"/>
      <w:numFmt w:val="decimal"/>
      <w:lvlText w:val="%4."/>
      <w:lvlJc w:val="left"/>
      <w:pPr>
        <w:ind w:left="3644" w:hanging="360"/>
      </w:pPr>
    </w:lvl>
    <w:lvl w:ilvl="4" w:tplc="04160019" w:tentative="1">
      <w:start w:val="1"/>
      <w:numFmt w:val="lowerLetter"/>
      <w:lvlText w:val="%5."/>
      <w:lvlJc w:val="left"/>
      <w:pPr>
        <w:ind w:left="4364" w:hanging="360"/>
      </w:pPr>
    </w:lvl>
    <w:lvl w:ilvl="5" w:tplc="0416001B" w:tentative="1">
      <w:start w:val="1"/>
      <w:numFmt w:val="lowerRoman"/>
      <w:lvlText w:val="%6."/>
      <w:lvlJc w:val="right"/>
      <w:pPr>
        <w:ind w:left="5084" w:hanging="180"/>
      </w:pPr>
    </w:lvl>
    <w:lvl w:ilvl="6" w:tplc="0416000F" w:tentative="1">
      <w:start w:val="1"/>
      <w:numFmt w:val="decimal"/>
      <w:lvlText w:val="%7."/>
      <w:lvlJc w:val="left"/>
      <w:pPr>
        <w:ind w:left="5804" w:hanging="360"/>
      </w:pPr>
    </w:lvl>
    <w:lvl w:ilvl="7" w:tplc="04160019" w:tentative="1">
      <w:start w:val="1"/>
      <w:numFmt w:val="lowerLetter"/>
      <w:lvlText w:val="%8."/>
      <w:lvlJc w:val="left"/>
      <w:pPr>
        <w:ind w:left="6524" w:hanging="360"/>
      </w:pPr>
    </w:lvl>
    <w:lvl w:ilvl="8" w:tplc="0416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9" w15:restartNumberingAfterBreak="0">
    <w:nsid w:val="6D122CF9"/>
    <w:multiLevelType w:val="hybridMultilevel"/>
    <w:tmpl w:val="F5E4D5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n-GB" w:vendorID="64" w:dllVersion="4096" w:nlCheck="1" w:checkStyle="0"/>
  <w:activeWritingStyle w:appName="MSWord" w:lang="es-419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A4E"/>
    <w:rsid w:val="000022F4"/>
    <w:rsid w:val="00002936"/>
    <w:rsid w:val="00016004"/>
    <w:rsid w:val="00024317"/>
    <w:rsid w:val="00025ECA"/>
    <w:rsid w:val="000278C9"/>
    <w:rsid w:val="00027B2A"/>
    <w:rsid w:val="00031EEF"/>
    <w:rsid w:val="000324A8"/>
    <w:rsid w:val="00034110"/>
    <w:rsid w:val="000357D4"/>
    <w:rsid w:val="00045975"/>
    <w:rsid w:val="00045CA8"/>
    <w:rsid w:val="00046318"/>
    <w:rsid w:val="000466FF"/>
    <w:rsid w:val="00057C96"/>
    <w:rsid w:val="0006150D"/>
    <w:rsid w:val="00077B8B"/>
    <w:rsid w:val="0008109E"/>
    <w:rsid w:val="0008369D"/>
    <w:rsid w:val="00085DF0"/>
    <w:rsid w:val="000879EF"/>
    <w:rsid w:val="0009166A"/>
    <w:rsid w:val="00095608"/>
    <w:rsid w:val="000A07E5"/>
    <w:rsid w:val="000A312E"/>
    <w:rsid w:val="000A5170"/>
    <w:rsid w:val="000A51E9"/>
    <w:rsid w:val="000B19BE"/>
    <w:rsid w:val="000B51D8"/>
    <w:rsid w:val="000B5EC9"/>
    <w:rsid w:val="000B7881"/>
    <w:rsid w:val="000C3142"/>
    <w:rsid w:val="000C4F6E"/>
    <w:rsid w:val="000C64BF"/>
    <w:rsid w:val="000C77A1"/>
    <w:rsid w:val="000E0910"/>
    <w:rsid w:val="000E2503"/>
    <w:rsid w:val="000E5B7C"/>
    <w:rsid w:val="000E5DBF"/>
    <w:rsid w:val="000F0498"/>
    <w:rsid w:val="000F4E52"/>
    <w:rsid w:val="0010100A"/>
    <w:rsid w:val="00102677"/>
    <w:rsid w:val="00103AB1"/>
    <w:rsid w:val="00106314"/>
    <w:rsid w:val="00106F51"/>
    <w:rsid w:val="00107301"/>
    <w:rsid w:val="001158A6"/>
    <w:rsid w:val="00116CC7"/>
    <w:rsid w:val="00117316"/>
    <w:rsid w:val="001222C7"/>
    <w:rsid w:val="00130C11"/>
    <w:rsid w:val="001333B0"/>
    <w:rsid w:val="0013480D"/>
    <w:rsid w:val="00137261"/>
    <w:rsid w:val="001376E1"/>
    <w:rsid w:val="0014101E"/>
    <w:rsid w:val="00142747"/>
    <w:rsid w:val="00144603"/>
    <w:rsid w:val="00144838"/>
    <w:rsid w:val="00146DD5"/>
    <w:rsid w:val="00151139"/>
    <w:rsid w:val="00157154"/>
    <w:rsid w:val="001649D3"/>
    <w:rsid w:val="001652F7"/>
    <w:rsid w:val="001702E0"/>
    <w:rsid w:val="00170D65"/>
    <w:rsid w:val="0017447B"/>
    <w:rsid w:val="0017678D"/>
    <w:rsid w:val="001829F6"/>
    <w:rsid w:val="00185E5D"/>
    <w:rsid w:val="00191C89"/>
    <w:rsid w:val="0019627B"/>
    <w:rsid w:val="001A3EA0"/>
    <w:rsid w:val="001B2BEE"/>
    <w:rsid w:val="001C1221"/>
    <w:rsid w:val="001C3330"/>
    <w:rsid w:val="001C5517"/>
    <w:rsid w:val="001D5A79"/>
    <w:rsid w:val="001E01B7"/>
    <w:rsid w:val="001E133D"/>
    <w:rsid w:val="001E3738"/>
    <w:rsid w:val="001E409E"/>
    <w:rsid w:val="001F0E92"/>
    <w:rsid w:val="001F4C0D"/>
    <w:rsid w:val="0020695B"/>
    <w:rsid w:val="00212718"/>
    <w:rsid w:val="00215631"/>
    <w:rsid w:val="00217165"/>
    <w:rsid w:val="002171BE"/>
    <w:rsid w:val="002256A0"/>
    <w:rsid w:val="00226FD0"/>
    <w:rsid w:val="00230B9D"/>
    <w:rsid w:val="00231886"/>
    <w:rsid w:val="00233AFE"/>
    <w:rsid w:val="00236DC3"/>
    <w:rsid w:val="00240E7D"/>
    <w:rsid w:val="00243A09"/>
    <w:rsid w:val="002448C7"/>
    <w:rsid w:val="002457C0"/>
    <w:rsid w:val="00246DA8"/>
    <w:rsid w:val="002476F7"/>
    <w:rsid w:val="00251EB0"/>
    <w:rsid w:val="002538E7"/>
    <w:rsid w:val="0025493A"/>
    <w:rsid w:val="00255911"/>
    <w:rsid w:val="00256BA4"/>
    <w:rsid w:val="002605FC"/>
    <w:rsid w:val="002607BA"/>
    <w:rsid w:val="002641CC"/>
    <w:rsid w:val="0027025F"/>
    <w:rsid w:val="00271A9E"/>
    <w:rsid w:val="002724B0"/>
    <w:rsid w:val="002734F8"/>
    <w:rsid w:val="0027454B"/>
    <w:rsid w:val="00282E16"/>
    <w:rsid w:val="00284217"/>
    <w:rsid w:val="00295B40"/>
    <w:rsid w:val="00296EAC"/>
    <w:rsid w:val="00296F52"/>
    <w:rsid w:val="002A45CD"/>
    <w:rsid w:val="002A65FC"/>
    <w:rsid w:val="002B1B4A"/>
    <w:rsid w:val="002B211B"/>
    <w:rsid w:val="002B3255"/>
    <w:rsid w:val="002B5E89"/>
    <w:rsid w:val="002B62EE"/>
    <w:rsid w:val="002B6B12"/>
    <w:rsid w:val="002C2FF4"/>
    <w:rsid w:val="002C3E3C"/>
    <w:rsid w:val="002D0CB7"/>
    <w:rsid w:val="002D2318"/>
    <w:rsid w:val="002D3724"/>
    <w:rsid w:val="002D37EC"/>
    <w:rsid w:val="002F00D2"/>
    <w:rsid w:val="002F0E60"/>
    <w:rsid w:val="002F5B82"/>
    <w:rsid w:val="00305150"/>
    <w:rsid w:val="00310C72"/>
    <w:rsid w:val="003124A1"/>
    <w:rsid w:val="0031372D"/>
    <w:rsid w:val="00314339"/>
    <w:rsid w:val="00321B44"/>
    <w:rsid w:val="003221D5"/>
    <w:rsid w:val="00324FC1"/>
    <w:rsid w:val="003363AD"/>
    <w:rsid w:val="003376E7"/>
    <w:rsid w:val="00341EA5"/>
    <w:rsid w:val="00343B69"/>
    <w:rsid w:val="00344EC3"/>
    <w:rsid w:val="00347AF0"/>
    <w:rsid w:val="0035083A"/>
    <w:rsid w:val="00352CD7"/>
    <w:rsid w:val="003537BD"/>
    <w:rsid w:val="00353B6B"/>
    <w:rsid w:val="00353FB4"/>
    <w:rsid w:val="00355D49"/>
    <w:rsid w:val="00373556"/>
    <w:rsid w:val="00373A2A"/>
    <w:rsid w:val="003803C1"/>
    <w:rsid w:val="003815B7"/>
    <w:rsid w:val="00382C03"/>
    <w:rsid w:val="003964C5"/>
    <w:rsid w:val="00397E4B"/>
    <w:rsid w:val="003A1C6C"/>
    <w:rsid w:val="003A5F54"/>
    <w:rsid w:val="003A787D"/>
    <w:rsid w:val="003B20A6"/>
    <w:rsid w:val="003B2206"/>
    <w:rsid w:val="003C344E"/>
    <w:rsid w:val="003C4A67"/>
    <w:rsid w:val="003C4A82"/>
    <w:rsid w:val="003C7730"/>
    <w:rsid w:val="003D4AD2"/>
    <w:rsid w:val="003E2787"/>
    <w:rsid w:val="003E56D6"/>
    <w:rsid w:val="003E5C41"/>
    <w:rsid w:val="003F0B82"/>
    <w:rsid w:val="003F4694"/>
    <w:rsid w:val="003F6767"/>
    <w:rsid w:val="00400903"/>
    <w:rsid w:val="00404DF4"/>
    <w:rsid w:val="00405913"/>
    <w:rsid w:val="00411CFF"/>
    <w:rsid w:val="00415D10"/>
    <w:rsid w:val="0041639F"/>
    <w:rsid w:val="00421879"/>
    <w:rsid w:val="00422A4B"/>
    <w:rsid w:val="0042406F"/>
    <w:rsid w:val="004253D4"/>
    <w:rsid w:val="00427CF4"/>
    <w:rsid w:val="00435338"/>
    <w:rsid w:val="00440623"/>
    <w:rsid w:val="00440F51"/>
    <w:rsid w:val="00443FB6"/>
    <w:rsid w:val="0044414A"/>
    <w:rsid w:val="00450146"/>
    <w:rsid w:val="00451AC2"/>
    <w:rsid w:val="004541B1"/>
    <w:rsid w:val="00461966"/>
    <w:rsid w:val="00463650"/>
    <w:rsid w:val="00463EFF"/>
    <w:rsid w:val="004678FD"/>
    <w:rsid w:val="00467907"/>
    <w:rsid w:val="00471B2A"/>
    <w:rsid w:val="00474A09"/>
    <w:rsid w:val="004754F3"/>
    <w:rsid w:val="00475552"/>
    <w:rsid w:val="0047643F"/>
    <w:rsid w:val="004764EF"/>
    <w:rsid w:val="00480590"/>
    <w:rsid w:val="00480DE1"/>
    <w:rsid w:val="00483EE7"/>
    <w:rsid w:val="004872DC"/>
    <w:rsid w:val="00492018"/>
    <w:rsid w:val="004A0301"/>
    <w:rsid w:val="004B18D9"/>
    <w:rsid w:val="004B1F20"/>
    <w:rsid w:val="004B2B0D"/>
    <w:rsid w:val="004B2DFE"/>
    <w:rsid w:val="004C4BBE"/>
    <w:rsid w:val="004C4C95"/>
    <w:rsid w:val="004D0E61"/>
    <w:rsid w:val="004D23E9"/>
    <w:rsid w:val="004D3361"/>
    <w:rsid w:val="004D581A"/>
    <w:rsid w:val="004D6D26"/>
    <w:rsid w:val="004D73B4"/>
    <w:rsid w:val="004E336E"/>
    <w:rsid w:val="004E4693"/>
    <w:rsid w:val="004E74C0"/>
    <w:rsid w:val="004F50F3"/>
    <w:rsid w:val="004F571F"/>
    <w:rsid w:val="004F5B09"/>
    <w:rsid w:val="00510025"/>
    <w:rsid w:val="005102E9"/>
    <w:rsid w:val="00520F65"/>
    <w:rsid w:val="005246CE"/>
    <w:rsid w:val="00527991"/>
    <w:rsid w:val="00527CF3"/>
    <w:rsid w:val="00531AD7"/>
    <w:rsid w:val="00531BCA"/>
    <w:rsid w:val="00533207"/>
    <w:rsid w:val="00534EF0"/>
    <w:rsid w:val="005376DA"/>
    <w:rsid w:val="00542921"/>
    <w:rsid w:val="00543B9D"/>
    <w:rsid w:val="00544FD9"/>
    <w:rsid w:val="0055574F"/>
    <w:rsid w:val="00565F75"/>
    <w:rsid w:val="00575538"/>
    <w:rsid w:val="005758D0"/>
    <w:rsid w:val="00577E60"/>
    <w:rsid w:val="005810F6"/>
    <w:rsid w:val="00584556"/>
    <w:rsid w:val="005910C5"/>
    <w:rsid w:val="005913AD"/>
    <w:rsid w:val="00595B8D"/>
    <w:rsid w:val="005A33C5"/>
    <w:rsid w:val="005A77EC"/>
    <w:rsid w:val="005B0C7D"/>
    <w:rsid w:val="005B1B59"/>
    <w:rsid w:val="005B25FC"/>
    <w:rsid w:val="005B3A96"/>
    <w:rsid w:val="005B6055"/>
    <w:rsid w:val="005B6883"/>
    <w:rsid w:val="005C2288"/>
    <w:rsid w:val="005C3603"/>
    <w:rsid w:val="005C597B"/>
    <w:rsid w:val="005D13D8"/>
    <w:rsid w:val="005D279E"/>
    <w:rsid w:val="005D2D4E"/>
    <w:rsid w:val="005E3B62"/>
    <w:rsid w:val="005E6C3E"/>
    <w:rsid w:val="005E7818"/>
    <w:rsid w:val="005F0130"/>
    <w:rsid w:val="005F0A60"/>
    <w:rsid w:val="00605AC6"/>
    <w:rsid w:val="00605C7D"/>
    <w:rsid w:val="006170CF"/>
    <w:rsid w:val="00623699"/>
    <w:rsid w:val="00625931"/>
    <w:rsid w:val="006313D9"/>
    <w:rsid w:val="0063169B"/>
    <w:rsid w:val="00631AFA"/>
    <w:rsid w:val="006320CD"/>
    <w:rsid w:val="006326D4"/>
    <w:rsid w:val="00642A6F"/>
    <w:rsid w:val="00643ACC"/>
    <w:rsid w:val="00655830"/>
    <w:rsid w:val="006573CD"/>
    <w:rsid w:val="0066109C"/>
    <w:rsid w:val="00661DBC"/>
    <w:rsid w:val="00665223"/>
    <w:rsid w:val="00665729"/>
    <w:rsid w:val="00665C76"/>
    <w:rsid w:val="006714AA"/>
    <w:rsid w:val="00672972"/>
    <w:rsid w:val="0067360E"/>
    <w:rsid w:val="00684059"/>
    <w:rsid w:val="00684B45"/>
    <w:rsid w:val="006873D0"/>
    <w:rsid w:val="0069010E"/>
    <w:rsid w:val="00690F98"/>
    <w:rsid w:val="006937F5"/>
    <w:rsid w:val="00694F69"/>
    <w:rsid w:val="00696393"/>
    <w:rsid w:val="006A0099"/>
    <w:rsid w:val="006A38B4"/>
    <w:rsid w:val="006A681A"/>
    <w:rsid w:val="006A7DC3"/>
    <w:rsid w:val="006B1BEA"/>
    <w:rsid w:val="006B318B"/>
    <w:rsid w:val="006B4381"/>
    <w:rsid w:val="006C2E2C"/>
    <w:rsid w:val="006C554B"/>
    <w:rsid w:val="006C5675"/>
    <w:rsid w:val="006C5777"/>
    <w:rsid w:val="006C6B8E"/>
    <w:rsid w:val="006D08CF"/>
    <w:rsid w:val="006D38A1"/>
    <w:rsid w:val="006D5633"/>
    <w:rsid w:val="006D6AE8"/>
    <w:rsid w:val="006E0494"/>
    <w:rsid w:val="006E0790"/>
    <w:rsid w:val="006E4FF2"/>
    <w:rsid w:val="006E557D"/>
    <w:rsid w:val="006F18C8"/>
    <w:rsid w:val="006F1D26"/>
    <w:rsid w:val="006F4351"/>
    <w:rsid w:val="006F4E4A"/>
    <w:rsid w:val="006F5D24"/>
    <w:rsid w:val="00702916"/>
    <w:rsid w:val="007119C5"/>
    <w:rsid w:val="007127C1"/>
    <w:rsid w:val="00715285"/>
    <w:rsid w:val="00720C54"/>
    <w:rsid w:val="007231EC"/>
    <w:rsid w:val="007232C1"/>
    <w:rsid w:val="00730675"/>
    <w:rsid w:val="00741419"/>
    <w:rsid w:val="007423FA"/>
    <w:rsid w:val="0074766C"/>
    <w:rsid w:val="0075117C"/>
    <w:rsid w:val="00752714"/>
    <w:rsid w:val="0075753F"/>
    <w:rsid w:val="007605F5"/>
    <w:rsid w:val="00760CFC"/>
    <w:rsid w:val="00764C47"/>
    <w:rsid w:val="00764E31"/>
    <w:rsid w:val="00766CDC"/>
    <w:rsid w:val="00772D26"/>
    <w:rsid w:val="00774BE0"/>
    <w:rsid w:val="00780014"/>
    <w:rsid w:val="007845F5"/>
    <w:rsid w:val="00784FA4"/>
    <w:rsid w:val="00786F4E"/>
    <w:rsid w:val="0079344E"/>
    <w:rsid w:val="00795853"/>
    <w:rsid w:val="007A08BA"/>
    <w:rsid w:val="007A4108"/>
    <w:rsid w:val="007A6582"/>
    <w:rsid w:val="007B16CB"/>
    <w:rsid w:val="007B253A"/>
    <w:rsid w:val="007B42B4"/>
    <w:rsid w:val="007B487F"/>
    <w:rsid w:val="007C0DDC"/>
    <w:rsid w:val="007C1D93"/>
    <w:rsid w:val="007C3327"/>
    <w:rsid w:val="007C5869"/>
    <w:rsid w:val="007D019F"/>
    <w:rsid w:val="007D548D"/>
    <w:rsid w:val="007D5CEE"/>
    <w:rsid w:val="007D6CE6"/>
    <w:rsid w:val="007E2F19"/>
    <w:rsid w:val="007E3598"/>
    <w:rsid w:val="007E492C"/>
    <w:rsid w:val="007E7205"/>
    <w:rsid w:val="007F0067"/>
    <w:rsid w:val="007F01A3"/>
    <w:rsid w:val="007F2921"/>
    <w:rsid w:val="007F7E46"/>
    <w:rsid w:val="00801DAE"/>
    <w:rsid w:val="00803A29"/>
    <w:rsid w:val="00803C36"/>
    <w:rsid w:val="0081066A"/>
    <w:rsid w:val="00814C9D"/>
    <w:rsid w:val="00817C3D"/>
    <w:rsid w:val="0082005F"/>
    <w:rsid w:val="00820455"/>
    <w:rsid w:val="00820C5C"/>
    <w:rsid w:val="008229FD"/>
    <w:rsid w:val="0082493C"/>
    <w:rsid w:val="00824EF9"/>
    <w:rsid w:val="00825A4E"/>
    <w:rsid w:val="008271A2"/>
    <w:rsid w:val="0083457A"/>
    <w:rsid w:val="0083768C"/>
    <w:rsid w:val="0084011A"/>
    <w:rsid w:val="00842C9D"/>
    <w:rsid w:val="00843221"/>
    <w:rsid w:val="00845683"/>
    <w:rsid w:val="00845994"/>
    <w:rsid w:val="00845CA1"/>
    <w:rsid w:val="008502BE"/>
    <w:rsid w:val="00853FFF"/>
    <w:rsid w:val="00854B22"/>
    <w:rsid w:val="00860DFA"/>
    <w:rsid w:val="00861032"/>
    <w:rsid w:val="008634C7"/>
    <w:rsid w:val="00864006"/>
    <w:rsid w:val="008664F8"/>
    <w:rsid w:val="00874FDF"/>
    <w:rsid w:val="0088392D"/>
    <w:rsid w:val="00884874"/>
    <w:rsid w:val="00890729"/>
    <w:rsid w:val="008924B5"/>
    <w:rsid w:val="008936EC"/>
    <w:rsid w:val="008A057E"/>
    <w:rsid w:val="008A27D5"/>
    <w:rsid w:val="008B0001"/>
    <w:rsid w:val="008B2FC2"/>
    <w:rsid w:val="008B4ADB"/>
    <w:rsid w:val="008C0738"/>
    <w:rsid w:val="008D762D"/>
    <w:rsid w:val="008E08E4"/>
    <w:rsid w:val="008E1D08"/>
    <w:rsid w:val="008E3EFF"/>
    <w:rsid w:val="008F136B"/>
    <w:rsid w:val="008F4BEC"/>
    <w:rsid w:val="008F7264"/>
    <w:rsid w:val="0090000A"/>
    <w:rsid w:val="00901B3C"/>
    <w:rsid w:val="00901E89"/>
    <w:rsid w:val="00902635"/>
    <w:rsid w:val="00904D85"/>
    <w:rsid w:val="00905850"/>
    <w:rsid w:val="0090729E"/>
    <w:rsid w:val="00913A8A"/>
    <w:rsid w:val="00916695"/>
    <w:rsid w:val="00920FF9"/>
    <w:rsid w:val="0092627B"/>
    <w:rsid w:val="00930E2A"/>
    <w:rsid w:val="00932067"/>
    <w:rsid w:val="00935EE5"/>
    <w:rsid w:val="00943BC7"/>
    <w:rsid w:val="00947D6D"/>
    <w:rsid w:val="00960F75"/>
    <w:rsid w:val="00964BC7"/>
    <w:rsid w:val="009677D0"/>
    <w:rsid w:val="00970989"/>
    <w:rsid w:val="0097246B"/>
    <w:rsid w:val="009778C0"/>
    <w:rsid w:val="00980E7B"/>
    <w:rsid w:val="009854F8"/>
    <w:rsid w:val="00985A79"/>
    <w:rsid w:val="00987B43"/>
    <w:rsid w:val="00994374"/>
    <w:rsid w:val="00994BD0"/>
    <w:rsid w:val="00996B34"/>
    <w:rsid w:val="009A1E25"/>
    <w:rsid w:val="009A5B1A"/>
    <w:rsid w:val="009A6B23"/>
    <w:rsid w:val="009B0127"/>
    <w:rsid w:val="009B47E2"/>
    <w:rsid w:val="009B4D19"/>
    <w:rsid w:val="009B7BFC"/>
    <w:rsid w:val="009C00C5"/>
    <w:rsid w:val="009D0CEF"/>
    <w:rsid w:val="009D1FE9"/>
    <w:rsid w:val="009D2C89"/>
    <w:rsid w:val="009D5321"/>
    <w:rsid w:val="009D7E68"/>
    <w:rsid w:val="009E23F6"/>
    <w:rsid w:val="009E3B26"/>
    <w:rsid w:val="009E6303"/>
    <w:rsid w:val="009F126F"/>
    <w:rsid w:val="009F1BB7"/>
    <w:rsid w:val="009F30BC"/>
    <w:rsid w:val="009F416B"/>
    <w:rsid w:val="009F45E5"/>
    <w:rsid w:val="009F604D"/>
    <w:rsid w:val="00A00149"/>
    <w:rsid w:val="00A02A92"/>
    <w:rsid w:val="00A060C8"/>
    <w:rsid w:val="00A11520"/>
    <w:rsid w:val="00A139F9"/>
    <w:rsid w:val="00A14CAA"/>
    <w:rsid w:val="00A21547"/>
    <w:rsid w:val="00A22460"/>
    <w:rsid w:val="00A30890"/>
    <w:rsid w:val="00A334E1"/>
    <w:rsid w:val="00A350EB"/>
    <w:rsid w:val="00A40A06"/>
    <w:rsid w:val="00A43B54"/>
    <w:rsid w:val="00A476AA"/>
    <w:rsid w:val="00A50C8D"/>
    <w:rsid w:val="00A5264B"/>
    <w:rsid w:val="00A54333"/>
    <w:rsid w:val="00A5454D"/>
    <w:rsid w:val="00A56C89"/>
    <w:rsid w:val="00A616F4"/>
    <w:rsid w:val="00A650CE"/>
    <w:rsid w:val="00A67505"/>
    <w:rsid w:val="00A7212C"/>
    <w:rsid w:val="00A75713"/>
    <w:rsid w:val="00A8605A"/>
    <w:rsid w:val="00A8748A"/>
    <w:rsid w:val="00A909FA"/>
    <w:rsid w:val="00A93268"/>
    <w:rsid w:val="00A966D8"/>
    <w:rsid w:val="00AA310C"/>
    <w:rsid w:val="00AA5D66"/>
    <w:rsid w:val="00AB3B08"/>
    <w:rsid w:val="00AB41F7"/>
    <w:rsid w:val="00AB5744"/>
    <w:rsid w:val="00AC0300"/>
    <w:rsid w:val="00AC615A"/>
    <w:rsid w:val="00AD24B6"/>
    <w:rsid w:val="00AD632C"/>
    <w:rsid w:val="00AD65A4"/>
    <w:rsid w:val="00AE316A"/>
    <w:rsid w:val="00AF0225"/>
    <w:rsid w:val="00AF76E8"/>
    <w:rsid w:val="00B02AA2"/>
    <w:rsid w:val="00B06DF3"/>
    <w:rsid w:val="00B12484"/>
    <w:rsid w:val="00B13868"/>
    <w:rsid w:val="00B16595"/>
    <w:rsid w:val="00B20BE5"/>
    <w:rsid w:val="00B219BA"/>
    <w:rsid w:val="00B21CB7"/>
    <w:rsid w:val="00B23ACE"/>
    <w:rsid w:val="00B25469"/>
    <w:rsid w:val="00B25A71"/>
    <w:rsid w:val="00B31379"/>
    <w:rsid w:val="00B314ED"/>
    <w:rsid w:val="00B31A00"/>
    <w:rsid w:val="00B34BDE"/>
    <w:rsid w:val="00B35C8E"/>
    <w:rsid w:val="00B431B6"/>
    <w:rsid w:val="00B44E93"/>
    <w:rsid w:val="00B461A8"/>
    <w:rsid w:val="00B512CC"/>
    <w:rsid w:val="00B5473D"/>
    <w:rsid w:val="00B55018"/>
    <w:rsid w:val="00B66FAE"/>
    <w:rsid w:val="00B75AFA"/>
    <w:rsid w:val="00B76C9A"/>
    <w:rsid w:val="00B80DF0"/>
    <w:rsid w:val="00B80FEF"/>
    <w:rsid w:val="00B937BC"/>
    <w:rsid w:val="00B943B5"/>
    <w:rsid w:val="00BA6DD7"/>
    <w:rsid w:val="00BB05F3"/>
    <w:rsid w:val="00BB20D3"/>
    <w:rsid w:val="00BC1026"/>
    <w:rsid w:val="00BC20E9"/>
    <w:rsid w:val="00BC5ED1"/>
    <w:rsid w:val="00BD067C"/>
    <w:rsid w:val="00BD088B"/>
    <w:rsid w:val="00BD1517"/>
    <w:rsid w:val="00BD25D9"/>
    <w:rsid w:val="00BD3B3C"/>
    <w:rsid w:val="00BE1794"/>
    <w:rsid w:val="00BE4C76"/>
    <w:rsid w:val="00BE6FB2"/>
    <w:rsid w:val="00BF2E31"/>
    <w:rsid w:val="00BF3D22"/>
    <w:rsid w:val="00BF56B5"/>
    <w:rsid w:val="00C02529"/>
    <w:rsid w:val="00C043D7"/>
    <w:rsid w:val="00C11480"/>
    <w:rsid w:val="00C12318"/>
    <w:rsid w:val="00C13282"/>
    <w:rsid w:val="00C13395"/>
    <w:rsid w:val="00C134D5"/>
    <w:rsid w:val="00C1386A"/>
    <w:rsid w:val="00C14376"/>
    <w:rsid w:val="00C145D0"/>
    <w:rsid w:val="00C22474"/>
    <w:rsid w:val="00C25E75"/>
    <w:rsid w:val="00C308BA"/>
    <w:rsid w:val="00C30E4A"/>
    <w:rsid w:val="00C320CC"/>
    <w:rsid w:val="00C33682"/>
    <w:rsid w:val="00C36C84"/>
    <w:rsid w:val="00C43436"/>
    <w:rsid w:val="00C44AC2"/>
    <w:rsid w:val="00C47437"/>
    <w:rsid w:val="00C478E9"/>
    <w:rsid w:val="00C500EE"/>
    <w:rsid w:val="00C524F8"/>
    <w:rsid w:val="00C53E25"/>
    <w:rsid w:val="00C55EE1"/>
    <w:rsid w:val="00C602D3"/>
    <w:rsid w:val="00C65FFF"/>
    <w:rsid w:val="00C67033"/>
    <w:rsid w:val="00C70EBA"/>
    <w:rsid w:val="00C71BDE"/>
    <w:rsid w:val="00C7512C"/>
    <w:rsid w:val="00C75629"/>
    <w:rsid w:val="00C75F8C"/>
    <w:rsid w:val="00C77D37"/>
    <w:rsid w:val="00C844E7"/>
    <w:rsid w:val="00CA039B"/>
    <w:rsid w:val="00CA0B07"/>
    <w:rsid w:val="00CB1014"/>
    <w:rsid w:val="00CB1AAF"/>
    <w:rsid w:val="00CB1BC9"/>
    <w:rsid w:val="00CB1E2D"/>
    <w:rsid w:val="00CB24CA"/>
    <w:rsid w:val="00CB4BED"/>
    <w:rsid w:val="00CC24F9"/>
    <w:rsid w:val="00CC44AC"/>
    <w:rsid w:val="00CC4E51"/>
    <w:rsid w:val="00CC6958"/>
    <w:rsid w:val="00CC7470"/>
    <w:rsid w:val="00CD2D3A"/>
    <w:rsid w:val="00CD31EC"/>
    <w:rsid w:val="00CE088D"/>
    <w:rsid w:val="00CE33C7"/>
    <w:rsid w:val="00CE414A"/>
    <w:rsid w:val="00CF7565"/>
    <w:rsid w:val="00D0548A"/>
    <w:rsid w:val="00D07476"/>
    <w:rsid w:val="00D07EE5"/>
    <w:rsid w:val="00D10315"/>
    <w:rsid w:val="00D10A3C"/>
    <w:rsid w:val="00D120D7"/>
    <w:rsid w:val="00D12117"/>
    <w:rsid w:val="00D1284F"/>
    <w:rsid w:val="00D15BF7"/>
    <w:rsid w:val="00D16DD8"/>
    <w:rsid w:val="00D269FC"/>
    <w:rsid w:val="00D27B00"/>
    <w:rsid w:val="00D32779"/>
    <w:rsid w:val="00D4076A"/>
    <w:rsid w:val="00D40BA2"/>
    <w:rsid w:val="00D43520"/>
    <w:rsid w:val="00D448B6"/>
    <w:rsid w:val="00D450E7"/>
    <w:rsid w:val="00D46290"/>
    <w:rsid w:val="00D46659"/>
    <w:rsid w:val="00D53129"/>
    <w:rsid w:val="00D55498"/>
    <w:rsid w:val="00D554BF"/>
    <w:rsid w:val="00D55EE3"/>
    <w:rsid w:val="00D60338"/>
    <w:rsid w:val="00D63CB1"/>
    <w:rsid w:val="00D660CB"/>
    <w:rsid w:val="00D72E2F"/>
    <w:rsid w:val="00D7350A"/>
    <w:rsid w:val="00D74FC0"/>
    <w:rsid w:val="00D84802"/>
    <w:rsid w:val="00D85461"/>
    <w:rsid w:val="00D87073"/>
    <w:rsid w:val="00D91B07"/>
    <w:rsid w:val="00D9461A"/>
    <w:rsid w:val="00DA0196"/>
    <w:rsid w:val="00DA60D9"/>
    <w:rsid w:val="00DB1CE1"/>
    <w:rsid w:val="00DB2EE6"/>
    <w:rsid w:val="00DB68F5"/>
    <w:rsid w:val="00DB7977"/>
    <w:rsid w:val="00DC00C2"/>
    <w:rsid w:val="00DC658A"/>
    <w:rsid w:val="00DC67C8"/>
    <w:rsid w:val="00DD0116"/>
    <w:rsid w:val="00DD1641"/>
    <w:rsid w:val="00DE1D1F"/>
    <w:rsid w:val="00E0231A"/>
    <w:rsid w:val="00E164A9"/>
    <w:rsid w:val="00E20700"/>
    <w:rsid w:val="00E245E7"/>
    <w:rsid w:val="00E540D6"/>
    <w:rsid w:val="00E54148"/>
    <w:rsid w:val="00E57256"/>
    <w:rsid w:val="00E6053F"/>
    <w:rsid w:val="00E6286E"/>
    <w:rsid w:val="00E6345C"/>
    <w:rsid w:val="00E649C3"/>
    <w:rsid w:val="00E73CBB"/>
    <w:rsid w:val="00E807F6"/>
    <w:rsid w:val="00E8793B"/>
    <w:rsid w:val="00E94DED"/>
    <w:rsid w:val="00EA192F"/>
    <w:rsid w:val="00EA57DB"/>
    <w:rsid w:val="00EA7320"/>
    <w:rsid w:val="00EB05AD"/>
    <w:rsid w:val="00EB088A"/>
    <w:rsid w:val="00EB24F2"/>
    <w:rsid w:val="00EB7E74"/>
    <w:rsid w:val="00EB7F9F"/>
    <w:rsid w:val="00EC2158"/>
    <w:rsid w:val="00EC358A"/>
    <w:rsid w:val="00EC3CBE"/>
    <w:rsid w:val="00EC7364"/>
    <w:rsid w:val="00ED1AB3"/>
    <w:rsid w:val="00ED2388"/>
    <w:rsid w:val="00ED320A"/>
    <w:rsid w:val="00ED47AA"/>
    <w:rsid w:val="00EE3145"/>
    <w:rsid w:val="00EE485D"/>
    <w:rsid w:val="00EE529E"/>
    <w:rsid w:val="00EE6E10"/>
    <w:rsid w:val="00EE7836"/>
    <w:rsid w:val="00EF49CA"/>
    <w:rsid w:val="00F0212E"/>
    <w:rsid w:val="00F06F63"/>
    <w:rsid w:val="00F110E7"/>
    <w:rsid w:val="00F15FC5"/>
    <w:rsid w:val="00F213AC"/>
    <w:rsid w:val="00F21CF7"/>
    <w:rsid w:val="00F2466A"/>
    <w:rsid w:val="00F2678C"/>
    <w:rsid w:val="00F4238E"/>
    <w:rsid w:val="00F4320D"/>
    <w:rsid w:val="00F44E85"/>
    <w:rsid w:val="00F543D4"/>
    <w:rsid w:val="00F55791"/>
    <w:rsid w:val="00F573FC"/>
    <w:rsid w:val="00F63FED"/>
    <w:rsid w:val="00F66EA0"/>
    <w:rsid w:val="00F70A97"/>
    <w:rsid w:val="00F712BA"/>
    <w:rsid w:val="00F740FF"/>
    <w:rsid w:val="00F74619"/>
    <w:rsid w:val="00F7585B"/>
    <w:rsid w:val="00F84926"/>
    <w:rsid w:val="00F909F5"/>
    <w:rsid w:val="00F93D6D"/>
    <w:rsid w:val="00F94F44"/>
    <w:rsid w:val="00FA0D00"/>
    <w:rsid w:val="00FB0820"/>
    <w:rsid w:val="00FB7CB2"/>
    <w:rsid w:val="00FC14A3"/>
    <w:rsid w:val="00FC1B9C"/>
    <w:rsid w:val="00FC3CAC"/>
    <w:rsid w:val="00FC5D31"/>
    <w:rsid w:val="00FC6C79"/>
    <w:rsid w:val="00FD0862"/>
    <w:rsid w:val="00FD1EEE"/>
    <w:rsid w:val="00FD29E4"/>
    <w:rsid w:val="00FD540D"/>
    <w:rsid w:val="00FD5B7C"/>
    <w:rsid w:val="00FD614F"/>
    <w:rsid w:val="00FE564F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33BFF0"/>
  <w15:docId w15:val="{7DBB58F7-6E57-4157-B854-4FB2DFEE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53A"/>
    <w:pPr>
      <w:suppressAutoHyphens/>
      <w:spacing w:after="120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8D7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TextodenotaderodapChar">
    <w:name w:val="Texto de nota de rodapé Char"/>
    <w:uiPriority w:val="99"/>
    <w:rPr>
      <w:sz w:val="20"/>
      <w:szCs w:val="20"/>
    </w:rPr>
  </w:style>
  <w:style w:type="character" w:customStyle="1" w:styleId="Caracteresdenotaderodap">
    <w:name w:val="Caracteres de nota de rodapé"/>
    <w:rPr>
      <w:vertAlign w:val="superscript"/>
    </w:rPr>
  </w:style>
  <w:style w:type="character" w:styleId="Refdenotaderodap">
    <w:name w:val="footnote reference"/>
    <w:uiPriority w:val="99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Caracteresdenotadefim">
    <w:name w:val="Caracteres de nota de fim"/>
  </w:style>
  <w:style w:type="paragraph" w:customStyle="1" w:styleId="Ttulo10">
    <w:name w:val="Título1"/>
    <w:basedOn w:val="Normal"/>
    <w:next w:val="Corpodetexto"/>
    <w:pPr>
      <w:keepNext/>
      <w:spacing w:before="240"/>
    </w:pPr>
    <w:rPr>
      <w:rFonts w:ascii="Liberation Sans" w:eastAsia="Tahoma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aliases w:val="Figura"/>
    <w:basedOn w:val="Normal"/>
    <w:uiPriority w:val="35"/>
    <w:qFormat/>
    <w:pPr>
      <w:suppressLineNumbers/>
      <w:spacing w:before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styleId="Textodenotaderodap">
    <w:name w:val="footnote text"/>
    <w:basedOn w:val="Normal"/>
    <w:uiPriority w:val="99"/>
    <w:pPr>
      <w:spacing w:after="0"/>
    </w:pPr>
    <w:rPr>
      <w:sz w:val="20"/>
      <w:szCs w:val="20"/>
    </w:rPr>
  </w:style>
  <w:style w:type="table" w:styleId="Tabelacomgrade">
    <w:name w:val="Table Grid"/>
    <w:basedOn w:val="Tabelanormal"/>
    <w:uiPriority w:val="39"/>
    <w:rsid w:val="00631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D13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D13D8"/>
    <w:rPr>
      <w:rFonts w:ascii="Calibri" w:eastAsia="Calibri" w:hAnsi="Calibri"/>
      <w:sz w:val="22"/>
      <w:szCs w:val="22"/>
      <w:lang w:eastAsia="zh-CN"/>
    </w:rPr>
  </w:style>
  <w:style w:type="paragraph" w:styleId="Rodap">
    <w:name w:val="footer"/>
    <w:basedOn w:val="Normal"/>
    <w:link w:val="RodapChar"/>
    <w:unhideWhenUsed/>
    <w:rsid w:val="005D13D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D13D8"/>
    <w:rPr>
      <w:rFonts w:ascii="Calibri" w:eastAsia="Calibri" w:hAnsi="Calibri"/>
      <w:sz w:val="22"/>
      <w:szCs w:val="22"/>
      <w:lang w:eastAsia="zh-CN"/>
    </w:rPr>
  </w:style>
  <w:style w:type="character" w:styleId="Hyperlink">
    <w:name w:val="Hyperlink"/>
    <w:uiPriority w:val="99"/>
    <w:unhideWhenUsed/>
    <w:rsid w:val="002D3724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414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E414A"/>
    <w:rPr>
      <w:rFonts w:ascii="Segoe UI" w:eastAsia="Calibri" w:hAnsi="Segoe UI" w:cs="Segoe UI"/>
      <w:sz w:val="18"/>
      <w:szCs w:val="18"/>
      <w:lang w:eastAsia="zh-CN"/>
    </w:rPr>
  </w:style>
  <w:style w:type="character" w:styleId="Refdecomentrio">
    <w:name w:val="annotation reference"/>
    <w:uiPriority w:val="99"/>
    <w:semiHidden/>
    <w:unhideWhenUsed/>
    <w:rsid w:val="006E55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E557D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6E557D"/>
    <w:rPr>
      <w:rFonts w:ascii="Calibri" w:eastAsia="Calibri" w:hAnsi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E557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E557D"/>
    <w:rPr>
      <w:rFonts w:ascii="Calibri" w:eastAsia="Calibri" w:hAnsi="Calibri"/>
      <w:b/>
      <w:bCs/>
      <w:lang w:eastAsia="zh-CN"/>
    </w:rPr>
  </w:style>
  <w:style w:type="paragraph" w:customStyle="1" w:styleId="Texto">
    <w:name w:val="Texto"/>
    <w:basedOn w:val="Normal"/>
    <w:link w:val="TextoChar1"/>
    <w:autoRedefine/>
    <w:rsid w:val="00BA6DD7"/>
    <w:pPr>
      <w:suppressAutoHyphens w:val="0"/>
      <w:spacing w:before="240" w:after="0"/>
      <w:ind w:firstLine="708"/>
      <w:jc w:val="both"/>
    </w:pPr>
    <w:rPr>
      <w:rFonts w:ascii="Arial" w:eastAsia="Arial Unicode MS" w:hAnsi="Arial"/>
      <w:color w:val="008000"/>
      <w:sz w:val="24"/>
      <w:szCs w:val="24"/>
      <w:lang w:eastAsia="pt-BR"/>
    </w:rPr>
  </w:style>
  <w:style w:type="character" w:customStyle="1" w:styleId="TextoChar1">
    <w:name w:val="Texto Char1"/>
    <w:link w:val="Texto"/>
    <w:rsid w:val="00BA6DD7"/>
    <w:rPr>
      <w:rFonts w:ascii="Arial" w:eastAsia="Arial Unicode MS" w:hAnsi="Arial"/>
      <w:color w:val="008000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251EB0"/>
  </w:style>
  <w:style w:type="paragraph" w:customStyle="1" w:styleId="RME-Texto">
    <w:name w:val="RME - Texto"/>
    <w:basedOn w:val="Normal"/>
    <w:rsid w:val="00A060C8"/>
    <w:pPr>
      <w:suppressAutoHyphens w:val="0"/>
      <w:spacing w:after="0"/>
      <w:ind w:firstLine="425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533207"/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30890"/>
    <w:rPr>
      <w:color w:val="954F72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764C47"/>
    <w:rPr>
      <w:color w:val="80808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22A4B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045975"/>
    <w:rPr>
      <w:rFonts w:ascii="Calibri" w:eastAsia="Calibri" w:hAnsi="Calibri"/>
      <w:sz w:val="22"/>
      <w:szCs w:val="22"/>
      <w:lang w:eastAsia="zh-CN"/>
    </w:rPr>
  </w:style>
  <w:style w:type="character" w:customStyle="1" w:styleId="pkpscreenreader">
    <w:name w:val="pkp_screen_reader"/>
    <w:basedOn w:val="Fontepargpadro"/>
    <w:rsid w:val="00B25469"/>
  </w:style>
  <w:style w:type="character" w:customStyle="1" w:styleId="label">
    <w:name w:val="label"/>
    <w:basedOn w:val="Fontepargpadro"/>
    <w:rsid w:val="00B25469"/>
  </w:style>
  <w:style w:type="character" w:styleId="Nmerodepgina">
    <w:name w:val="page number"/>
    <w:rsid w:val="00B20BE5"/>
  </w:style>
  <w:style w:type="character" w:customStyle="1" w:styleId="Ttulo1Char">
    <w:name w:val="Título 1 Char"/>
    <w:basedOn w:val="Fontepargpadro"/>
    <w:link w:val="Ttulo1"/>
    <w:uiPriority w:val="9"/>
    <w:rsid w:val="008D762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A54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6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AE819-8391-4C71-9FDE-19A9C3CD9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14</Pages>
  <Words>6694</Words>
  <Characters>36150</Characters>
  <Application>Microsoft Office Word</Application>
  <DocSecurity>0</DocSecurity>
  <Lines>301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UTILIZAÇÃO DE BIOESTIMULANTES E MICRORGANISMOS NA MITIGAÇÃO DO DÉFICIT HÍDRICO EM CULTIVO DE FEIJÃO</vt:lpstr>
      <vt:lpstr/>
    </vt:vector>
  </TitlesOfParts>
  <Company>Hewlett-Packard</Company>
  <LinksUpToDate>false</LinksUpToDate>
  <CharactersWithSpaces>42759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UTILIZAÇÃO DE BIOESTIMULANTES E MICRORGANISMOS NA MITIGAÇÃO DO DÉFICIT HÍDRICO EM CULTIVO DE FEIJÃO</dc:title>
  <dc:subject/>
  <dc:creator>Wendson Soares da Silva Cavalcante</dc:creator>
  <cp:keywords/>
  <dc:description/>
  <cp:lastModifiedBy>REVISTA</cp:lastModifiedBy>
  <cp:revision>55</cp:revision>
  <cp:lastPrinted>2026-05-11T19:00:00Z</cp:lastPrinted>
  <dcterms:created xsi:type="dcterms:W3CDTF">2025-07-28T02:13:00Z</dcterms:created>
  <dcterms:modified xsi:type="dcterms:W3CDTF">2026-05-11T19:00:00Z</dcterms:modified>
</cp:coreProperties>
</file>